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BDA77">
      <w:pPr>
        <w:jc w:val="center"/>
        <w:rPr>
          <w:rFonts w:hint="default" w:ascii="Times New Roman" w:eastAsia="仿宋"/>
          <w:b/>
          <w:bCs/>
          <w:sz w:val="32"/>
          <w:szCs w:val="32"/>
          <w:lang w:val="en-US" w:eastAsia="zh-CN"/>
        </w:rPr>
      </w:pPr>
      <w:r>
        <w:rPr>
          <w:rFonts w:hint="eastAsia" w:ascii="Times New Roman" w:eastAsia="仿宋"/>
          <w:b/>
          <w:bCs/>
          <w:sz w:val="32"/>
          <w:szCs w:val="32"/>
          <w:lang w:eastAsia="zh-CN"/>
        </w:rPr>
        <w:t>康定市跑马山景区旅游基础设施建设项目（一期）</w:t>
      </w:r>
      <w:r>
        <w:rPr>
          <w:rFonts w:hint="eastAsia" w:ascii="Times New Roman" w:eastAsia="仿宋"/>
          <w:b/>
          <w:bCs/>
          <w:sz w:val="32"/>
          <w:szCs w:val="32"/>
          <w:lang w:val="en-US" w:eastAsia="zh-CN"/>
        </w:rPr>
        <w:t>情况说明</w:t>
      </w:r>
    </w:p>
    <w:p w14:paraId="4AC5B74C">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outlineLvl w:val="0"/>
        <w:rPr>
          <w:rFonts w:ascii="Times New Roman" w:hAnsi="Times New Roman" w:eastAsia="仿宋" w:cs="Times New Roman"/>
          <w:b/>
          <w:bCs/>
          <w:sz w:val="24"/>
          <w:szCs w:val="24"/>
        </w:rPr>
      </w:pPr>
      <w:bookmarkStart w:id="0" w:name="_Toc8137"/>
      <w:r>
        <w:rPr>
          <w:rFonts w:ascii="Times New Roman" w:hAnsi="Times New Roman" w:eastAsia="仿宋" w:cs="Times New Roman"/>
          <w:b/>
          <w:bCs/>
          <w:sz w:val="24"/>
          <w:szCs w:val="24"/>
        </w:rPr>
        <w:t>一、项目基本情况</w:t>
      </w:r>
      <w:bookmarkEnd w:id="0"/>
    </w:p>
    <w:p w14:paraId="6AD5A4F0">
      <w:pPr>
        <w:keepNext w:val="0"/>
        <w:keepLines w:val="0"/>
        <w:pageBreakBefore w:val="0"/>
        <w:widowControl/>
        <w:kinsoku/>
        <w:wordWrap/>
        <w:overflowPunct/>
        <w:topLinePunct w:val="0"/>
        <w:autoSpaceDE/>
        <w:autoSpaceDN/>
        <w:bidi w:val="0"/>
        <w:adjustRightInd/>
        <w:snapToGrid w:val="0"/>
        <w:spacing w:line="240" w:lineRule="auto"/>
        <w:ind w:firstLine="562"/>
        <w:jc w:val="both"/>
        <w:textAlignment w:val="auto"/>
        <w:outlineLvl w:val="1"/>
        <w:rPr>
          <w:rFonts w:ascii="Times New Roman" w:hAnsi="Times New Roman" w:eastAsia="仿宋" w:cs="Times New Roman"/>
          <w:b/>
          <w:bCs/>
          <w:sz w:val="24"/>
          <w:szCs w:val="24"/>
        </w:rPr>
      </w:pPr>
      <w:bookmarkStart w:id="1" w:name="_Toc67"/>
      <w:bookmarkStart w:id="2" w:name="_Toc16358"/>
      <w:bookmarkStart w:id="3" w:name="_Toc7583"/>
      <w:r>
        <w:rPr>
          <w:rFonts w:ascii="Times New Roman" w:hAnsi="Times New Roman" w:eastAsia="仿宋" w:cs="Times New Roman"/>
          <w:b/>
          <w:bCs/>
          <w:sz w:val="24"/>
          <w:szCs w:val="24"/>
        </w:rPr>
        <w:t>（一）</w:t>
      </w:r>
      <w:r>
        <w:rPr>
          <w:rFonts w:hint="eastAsia" w:ascii="Times New Roman" w:hAnsi="Times New Roman" w:eastAsia="仿宋" w:cs="Times New Roman"/>
          <w:b/>
          <w:bCs/>
          <w:sz w:val="24"/>
          <w:szCs w:val="24"/>
        </w:rPr>
        <w:t>国民经济和社会发展及行业专项规划概况</w:t>
      </w:r>
      <w:bookmarkEnd w:id="1"/>
      <w:bookmarkEnd w:id="2"/>
      <w:bookmarkEnd w:id="3"/>
    </w:p>
    <w:p w14:paraId="2D19124C">
      <w:pPr>
        <w:keepNext w:val="0"/>
        <w:keepLines w:val="0"/>
        <w:pageBreakBefore w:val="0"/>
        <w:widowControl/>
        <w:kinsoku/>
        <w:wordWrap/>
        <w:overflowPunct/>
        <w:topLinePunct w:val="0"/>
        <w:autoSpaceDE/>
        <w:autoSpaceDN/>
        <w:bidi w:val="0"/>
        <w:adjustRightInd/>
        <w:snapToGrid w:val="0"/>
        <w:spacing w:line="240" w:lineRule="auto"/>
        <w:ind w:firstLine="562"/>
        <w:jc w:val="both"/>
        <w:textAlignment w:val="auto"/>
        <w:outlineLvl w:val="2"/>
        <w:rPr>
          <w:rFonts w:ascii="Times New Roman" w:hAnsi="Times New Roman" w:eastAsia="仿宋" w:cs="Times New Roman"/>
          <w:b/>
          <w:bCs/>
          <w:sz w:val="24"/>
          <w:szCs w:val="24"/>
        </w:rPr>
      </w:pPr>
      <w:bookmarkStart w:id="4" w:name="_Toc11710"/>
      <w:bookmarkStart w:id="5" w:name="_Toc4507"/>
      <w:bookmarkStart w:id="6" w:name="_Toc30969"/>
      <w:r>
        <w:rPr>
          <w:rFonts w:ascii="Times New Roman" w:hAnsi="Times New Roman" w:eastAsia="仿宋" w:cs="Times New Roman"/>
          <w:b/>
          <w:bCs/>
          <w:sz w:val="24"/>
          <w:szCs w:val="24"/>
        </w:rPr>
        <w:t>1、</w:t>
      </w:r>
      <w:r>
        <w:rPr>
          <w:rFonts w:hint="eastAsia" w:ascii="Times New Roman" w:hAnsi="Times New Roman" w:eastAsia="仿宋" w:cs="Times New Roman"/>
          <w:b/>
          <w:bCs/>
          <w:sz w:val="24"/>
          <w:szCs w:val="24"/>
        </w:rPr>
        <w:t>“十四五”规划关于</w:t>
      </w:r>
      <w:r>
        <w:rPr>
          <w:rFonts w:hint="eastAsia" w:ascii="Times New Roman" w:hAnsi="Times New Roman" w:eastAsia="仿宋" w:cs="Times New Roman"/>
          <w:b/>
          <w:bCs/>
          <w:sz w:val="24"/>
          <w:szCs w:val="24"/>
          <w:lang w:val="en-US" w:eastAsia="zh-CN"/>
        </w:rPr>
        <w:t>旅游事业规划</w:t>
      </w:r>
      <w:r>
        <w:rPr>
          <w:rFonts w:hint="eastAsia" w:ascii="Times New Roman" w:hAnsi="Times New Roman" w:eastAsia="仿宋" w:cs="Times New Roman"/>
          <w:b/>
          <w:bCs/>
          <w:sz w:val="24"/>
          <w:szCs w:val="24"/>
        </w:rPr>
        <w:t>概况</w:t>
      </w:r>
      <w:bookmarkEnd w:id="4"/>
      <w:bookmarkEnd w:id="5"/>
      <w:bookmarkEnd w:id="6"/>
    </w:p>
    <w:p w14:paraId="135E1A98">
      <w:pPr>
        <w:pageBreakBefore w:val="0"/>
        <w:kinsoku/>
        <w:wordWrap/>
        <w:overflowPunct/>
        <w:topLinePunct w:val="0"/>
        <w:bidi w:val="0"/>
        <w:snapToGrid w:val="0"/>
        <w:spacing w:line="240" w:lineRule="auto"/>
        <w:ind w:firstLine="562"/>
        <w:jc w:val="both"/>
        <w:textAlignment w:val="auto"/>
        <w:outlineLvl w:val="9"/>
        <w:rPr>
          <w:rFonts w:hint="eastAsia" w:ascii="Times New Roman" w:hAnsi="Times New Roman" w:eastAsia="仿宋" w:cs="Times New Roman"/>
          <w:sz w:val="24"/>
          <w:szCs w:val="24"/>
        </w:rPr>
      </w:pPr>
      <w:bookmarkStart w:id="7" w:name="_Toc20423"/>
      <w:bookmarkStart w:id="8" w:name="_Toc4321"/>
      <w:r>
        <w:rPr>
          <w:rFonts w:hint="eastAsia" w:ascii="Times New Roman" w:hAnsi="Times New Roman" w:eastAsia="仿宋" w:cs="Times New Roman"/>
          <w:sz w:val="24"/>
          <w:szCs w:val="24"/>
        </w:rPr>
        <w:t>《四川省国民经济和社会发展第十四个五年规划和2035年远景目标纲要》提出：推动文化旅游产业高质量发展，深化文化和旅游融合发展。完善文化和旅游融合发展体制机制，创新“文旅+”融合发展模式，打造文旅综合体，发展度假旅游、康养旅游、音乐旅游、体育旅游、研学旅游等新业态，推动传统技艺、传统饮食、表演艺术等项目集聚转化。</w:t>
      </w:r>
    </w:p>
    <w:p w14:paraId="1C2EEF65">
      <w:pPr>
        <w:pageBreakBefore w:val="0"/>
        <w:kinsoku/>
        <w:wordWrap/>
        <w:overflowPunct/>
        <w:topLinePunct w:val="0"/>
        <w:bidi w:val="0"/>
        <w:snapToGrid w:val="0"/>
        <w:spacing w:line="240" w:lineRule="auto"/>
        <w:ind w:firstLine="562"/>
        <w:jc w:val="both"/>
        <w:textAlignment w:val="auto"/>
        <w:outlineLvl w:val="9"/>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甘孜藏族自治州国民经济和社会发展第十四个五年规划和二〇三五年远景目标纲要》提出：要优先发展生态文化旅游业。完善特色旅游产品体系，打造生态观光、文化体验、康养休闲、户外运动、低空旅游、科普研学等旅游产品。</w:t>
      </w:r>
    </w:p>
    <w:p w14:paraId="29F434F9">
      <w:pPr>
        <w:pageBreakBefore w:val="0"/>
        <w:kinsoku/>
        <w:wordWrap/>
        <w:overflowPunct/>
        <w:topLinePunct w:val="0"/>
        <w:bidi w:val="0"/>
        <w:snapToGrid w:val="0"/>
        <w:spacing w:line="240" w:lineRule="auto"/>
        <w:ind w:firstLine="562"/>
        <w:jc w:val="both"/>
        <w:textAlignment w:val="auto"/>
        <w:outlineLvl w:val="9"/>
        <w:rPr>
          <w:rFonts w:hint="eastAsia" w:ascii="Times New Roman" w:hAnsi="Times New Roman" w:eastAsia="仿宋" w:cs="Times New Roman"/>
          <w:sz w:val="24"/>
          <w:szCs w:val="24"/>
          <w:lang w:eastAsia="zh-CN"/>
        </w:rPr>
      </w:pPr>
      <w:r>
        <w:rPr>
          <w:rFonts w:hint="eastAsia" w:ascii="Times New Roman" w:hAnsi="Times New Roman" w:eastAsia="仿宋" w:cs="Times New Roman"/>
          <w:sz w:val="24"/>
          <w:szCs w:val="24"/>
        </w:rPr>
        <w:t>《康定市国民经济和社会发展第十四个五年规划和二〇三五年远景目标纲要》提出：高品质打造景区景点。发挥龙头景区带动引领作用，推动木格措、跑马山景区创建5A级景区，塔公草原、新都桥摄影小镇、亚拉中谷旅游区创建4A级景区</w:t>
      </w:r>
      <w:r>
        <w:rPr>
          <w:rFonts w:hint="eastAsia" w:ascii="Times New Roman" w:hAnsi="Times New Roman" w:eastAsia="仿宋" w:cs="Times New Roman"/>
          <w:sz w:val="24"/>
          <w:szCs w:val="24"/>
          <w:lang w:eastAsia="zh-CN"/>
        </w:rPr>
        <w:t>。</w:t>
      </w:r>
      <w:r>
        <w:rPr>
          <w:rFonts w:hint="eastAsia" w:ascii="Times New Roman" w:hAnsi="Times New Roman" w:eastAsia="仿宋" w:cs="Times New Roman"/>
          <w:sz w:val="24"/>
          <w:szCs w:val="24"/>
        </w:rPr>
        <w:t>全力推进景城景镇景村一体发展，推动城镇、村庄景区化建设。</w:t>
      </w:r>
    </w:p>
    <w:p w14:paraId="1100D06B">
      <w:pPr>
        <w:keepNext w:val="0"/>
        <w:keepLines w:val="0"/>
        <w:pageBreakBefore w:val="0"/>
        <w:widowControl/>
        <w:kinsoku/>
        <w:wordWrap/>
        <w:overflowPunct/>
        <w:topLinePunct w:val="0"/>
        <w:autoSpaceDE/>
        <w:autoSpaceDN/>
        <w:bidi w:val="0"/>
        <w:snapToGrid w:val="0"/>
        <w:spacing w:line="240" w:lineRule="auto"/>
        <w:ind w:firstLine="562"/>
        <w:jc w:val="both"/>
        <w:textAlignment w:val="auto"/>
        <w:outlineLvl w:val="2"/>
        <w:rPr>
          <w:rFonts w:ascii="Times New Roman" w:hAnsi="Times New Roman" w:eastAsia="仿宋" w:cs="Times New Roman"/>
          <w:sz w:val="24"/>
          <w:szCs w:val="24"/>
        </w:rPr>
      </w:pPr>
      <w:bookmarkStart w:id="9" w:name="_Toc29463"/>
      <w:r>
        <w:rPr>
          <w:rFonts w:ascii="Times New Roman" w:hAnsi="Times New Roman" w:eastAsia="仿宋" w:cs="Times New Roman"/>
          <w:b/>
          <w:bCs/>
          <w:sz w:val="24"/>
          <w:szCs w:val="24"/>
        </w:rPr>
        <w:t>2、</w:t>
      </w:r>
      <w:r>
        <w:rPr>
          <w:rFonts w:hint="eastAsia" w:ascii="Times New Roman" w:hAnsi="Times New Roman" w:eastAsia="仿宋" w:cs="Times New Roman"/>
          <w:b/>
          <w:bCs/>
          <w:sz w:val="24"/>
          <w:szCs w:val="24"/>
          <w:lang w:val="en-US" w:eastAsia="zh-CN"/>
        </w:rPr>
        <w:t>行业</w:t>
      </w:r>
      <w:r>
        <w:rPr>
          <w:rFonts w:ascii="Times New Roman" w:hAnsi="Times New Roman" w:eastAsia="仿宋" w:cs="Times New Roman"/>
          <w:b/>
          <w:bCs/>
          <w:sz w:val="24"/>
          <w:szCs w:val="24"/>
        </w:rPr>
        <w:t>专项规划</w:t>
      </w:r>
      <w:bookmarkEnd w:id="7"/>
      <w:bookmarkEnd w:id="8"/>
      <w:bookmarkEnd w:id="9"/>
    </w:p>
    <w:p w14:paraId="71743260">
      <w:pPr>
        <w:pageBreakBefore w:val="0"/>
        <w:kinsoku/>
        <w:wordWrap/>
        <w:overflowPunct/>
        <w:topLinePunct w:val="0"/>
        <w:bidi w:val="0"/>
        <w:snapToGrid w:val="0"/>
        <w:spacing w:line="240" w:lineRule="auto"/>
        <w:ind w:firstLine="562"/>
        <w:jc w:val="both"/>
        <w:textAlignment w:val="auto"/>
        <w:outlineLvl w:val="9"/>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《四川省“十四五”文化和旅游发展规划》提出：支持成都建设国际音乐之都、康定市做响“情歌城”品牌，鼓励在九寨沟、康定、西昌等打造民族地区演艺集群。</w:t>
      </w:r>
    </w:p>
    <w:p w14:paraId="2BFD3681">
      <w:pPr>
        <w:pageBreakBefore w:val="0"/>
        <w:kinsoku/>
        <w:wordWrap/>
        <w:overflowPunct/>
        <w:topLinePunct w:val="0"/>
        <w:bidi w:val="0"/>
        <w:snapToGrid w:val="0"/>
        <w:spacing w:line="240" w:lineRule="auto"/>
        <w:ind w:firstLine="562"/>
        <w:jc w:val="both"/>
        <w:textAlignment w:val="auto"/>
        <w:outlineLvl w:val="9"/>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甘孜州“十四五”全域旅游发展规划》提出：加快推进木格措景区争创国家5A级旅游景区、国家级生态旅游示范区，推进建设“山城一体”跑马山景区城市公园；依托“世界的情歌、情歌的世界”文化品牌，加快建设康定情歌城旅游度假区。推进跑马山景区基础服务设施等项目建设。着力打造《康定情歌》IP演艺，继续做优做亮“康定情歌国际音乐节”等重大节事活动。做大康定文化旅游发展极核功能，强化完善旅游要素和公共服务体系，建成川藏铁路门户枢纽城市和康巴地区最具竞争力影响力的文化旅游名城。</w:t>
      </w:r>
    </w:p>
    <w:p w14:paraId="1A034E7C">
      <w:pPr>
        <w:pageBreakBefore w:val="0"/>
        <w:kinsoku/>
        <w:wordWrap/>
        <w:overflowPunct/>
        <w:topLinePunct w:val="0"/>
        <w:bidi w:val="0"/>
        <w:snapToGrid w:val="0"/>
        <w:spacing w:line="240" w:lineRule="auto"/>
        <w:ind w:firstLine="562"/>
        <w:jc w:val="both"/>
        <w:textAlignment w:val="auto"/>
        <w:outlineLvl w:val="1"/>
        <w:rPr>
          <w:rFonts w:ascii="Times New Roman" w:hAnsi="Times New Roman" w:eastAsia="仿宋" w:cs="Times New Roman"/>
          <w:b/>
          <w:bCs/>
          <w:sz w:val="24"/>
          <w:szCs w:val="24"/>
        </w:rPr>
      </w:pPr>
      <w:bookmarkStart w:id="10" w:name="_Toc18969"/>
      <w:r>
        <w:rPr>
          <w:rFonts w:ascii="Times New Roman" w:hAnsi="Times New Roman" w:eastAsia="仿宋" w:cs="Times New Roman"/>
          <w:b/>
          <w:bCs/>
          <w:sz w:val="24"/>
          <w:szCs w:val="24"/>
        </w:rPr>
        <w:t>（二）项目基本情况</w:t>
      </w:r>
      <w:bookmarkEnd w:id="10"/>
    </w:p>
    <w:p w14:paraId="36E3EE47">
      <w:pPr>
        <w:pageBreakBefore w:val="0"/>
        <w:kinsoku/>
        <w:wordWrap/>
        <w:overflowPunct/>
        <w:topLinePunct w:val="0"/>
        <w:bidi w:val="0"/>
        <w:snapToGrid w:val="0"/>
        <w:spacing w:line="240" w:lineRule="auto"/>
        <w:ind w:firstLine="562"/>
        <w:jc w:val="both"/>
        <w:textAlignment w:val="auto"/>
        <w:outlineLvl w:val="2"/>
        <w:rPr>
          <w:rFonts w:hint="eastAsia" w:ascii="仿宋" w:hAnsi="仿宋" w:eastAsia="仿宋" w:cs="仿宋"/>
          <w:b/>
          <w:bCs/>
          <w:sz w:val="24"/>
          <w:szCs w:val="24"/>
        </w:rPr>
      </w:pPr>
      <w:bookmarkStart w:id="11" w:name="_Toc31836"/>
      <w:bookmarkStart w:id="12" w:name="_Toc19525"/>
      <w:bookmarkStart w:id="13" w:name="_Toc5343"/>
      <w:r>
        <w:rPr>
          <w:rFonts w:hint="eastAsia" w:ascii="仿宋" w:hAnsi="仿宋" w:eastAsia="仿宋" w:cs="仿宋"/>
          <w:b/>
          <w:bCs/>
          <w:sz w:val="24"/>
          <w:szCs w:val="24"/>
        </w:rPr>
        <w:t>1、参与主体</w:t>
      </w:r>
      <w:bookmarkEnd w:id="11"/>
      <w:bookmarkEnd w:id="12"/>
      <w:bookmarkEnd w:id="13"/>
    </w:p>
    <w:p w14:paraId="0782714C">
      <w:pPr>
        <w:pageBreakBefore w:val="0"/>
        <w:kinsoku/>
        <w:wordWrap/>
        <w:overflowPunct/>
        <w:topLinePunct w:val="0"/>
        <w:bidi w:val="0"/>
        <w:snapToGrid w:val="0"/>
        <w:spacing w:line="240" w:lineRule="auto"/>
        <w:ind w:firstLine="560"/>
        <w:jc w:val="both"/>
        <w:textAlignment w:val="auto"/>
        <w:rPr>
          <w:rFonts w:hint="eastAsia" w:ascii="仿宋" w:hAnsi="仿宋" w:eastAsia="仿宋" w:cs="仿宋"/>
          <w:sz w:val="24"/>
          <w:szCs w:val="24"/>
        </w:rPr>
      </w:pPr>
      <w:r>
        <w:rPr>
          <w:rFonts w:hint="eastAsia" w:ascii="仿宋" w:hAnsi="仿宋" w:eastAsia="仿宋" w:cs="仿宋"/>
          <w:sz w:val="24"/>
          <w:szCs w:val="24"/>
        </w:rPr>
        <w:t>实施机构：</w:t>
      </w:r>
      <w:bookmarkStart w:id="14" w:name="OLE_LINK18"/>
      <w:r>
        <w:rPr>
          <w:rFonts w:hint="eastAsia" w:ascii="仿宋" w:hAnsi="仿宋" w:eastAsia="仿宋" w:cs="仿宋"/>
          <w:sz w:val="24"/>
          <w:szCs w:val="24"/>
        </w:rPr>
        <w:t>康定市文化广播电视和旅游局</w:t>
      </w:r>
      <w:bookmarkEnd w:id="14"/>
    </w:p>
    <w:p w14:paraId="32413013">
      <w:pPr>
        <w:pageBreakBefore w:val="0"/>
        <w:kinsoku/>
        <w:wordWrap/>
        <w:overflowPunct/>
        <w:topLinePunct w:val="0"/>
        <w:bidi w:val="0"/>
        <w:snapToGrid w:val="0"/>
        <w:spacing w:line="240" w:lineRule="auto"/>
        <w:ind w:firstLine="560"/>
        <w:jc w:val="both"/>
        <w:textAlignment w:val="auto"/>
        <w:rPr>
          <w:rFonts w:hint="eastAsia" w:ascii="仿宋" w:hAnsi="仿宋" w:eastAsia="仿宋" w:cs="仿宋"/>
          <w:sz w:val="24"/>
          <w:szCs w:val="24"/>
        </w:rPr>
      </w:pPr>
      <w:r>
        <w:rPr>
          <w:rFonts w:hint="eastAsia" w:ascii="仿宋" w:hAnsi="仿宋" w:eastAsia="仿宋" w:cs="仿宋"/>
          <w:sz w:val="24"/>
          <w:szCs w:val="24"/>
        </w:rPr>
        <w:t>项目业主：</w:t>
      </w:r>
      <w:bookmarkStart w:id="15" w:name="OLE_LINK84"/>
      <w:r>
        <w:rPr>
          <w:rFonts w:hint="eastAsia" w:ascii="仿宋" w:hAnsi="仿宋" w:eastAsia="仿宋" w:cs="仿宋"/>
          <w:sz w:val="24"/>
          <w:szCs w:val="24"/>
        </w:rPr>
        <w:t>康定市兴睿投资管理有限责任公司</w:t>
      </w:r>
      <w:bookmarkEnd w:id="15"/>
    </w:p>
    <w:p w14:paraId="5EDBEB79">
      <w:pPr>
        <w:pageBreakBefore w:val="0"/>
        <w:kinsoku/>
        <w:wordWrap/>
        <w:overflowPunct/>
        <w:topLinePunct w:val="0"/>
        <w:bidi w:val="0"/>
        <w:snapToGrid w:val="0"/>
        <w:spacing w:line="240" w:lineRule="auto"/>
        <w:ind w:firstLine="562"/>
        <w:jc w:val="both"/>
        <w:textAlignment w:val="auto"/>
        <w:outlineLvl w:val="2"/>
        <w:rPr>
          <w:rFonts w:hint="default" w:ascii="Times New Roman" w:hAnsi="Times New Roman" w:eastAsia="仿宋" w:cs="Times New Roman"/>
          <w:b/>
          <w:bCs/>
          <w:sz w:val="24"/>
          <w:szCs w:val="24"/>
        </w:rPr>
      </w:pPr>
      <w:bookmarkStart w:id="16" w:name="_Toc32738"/>
      <w:bookmarkStart w:id="17" w:name="_Toc28512"/>
      <w:bookmarkStart w:id="18" w:name="_Toc13917"/>
      <w:r>
        <w:rPr>
          <w:rFonts w:hint="default" w:ascii="Times New Roman" w:hAnsi="Times New Roman" w:eastAsia="仿宋" w:cs="Times New Roman"/>
          <w:b/>
          <w:bCs/>
          <w:sz w:val="24"/>
          <w:szCs w:val="24"/>
        </w:rPr>
        <w:t>2、项目概况</w:t>
      </w:r>
      <w:bookmarkEnd w:id="16"/>
      <w:bookmarkEnd w:id="17"/>
      <w:bookmarkEnd w:id="18"/>
    </w:p>
    <w:p w14:paraId="11F7B4FA">
      <w:pPr>
        <w:pageBreakBefore w:val="0"/>
        <w:kinsoku/>
        <w:wordWrap/>
        <w:overflowPunct/>
        <w:topLinePunct w:val="0"/>
        <w:bidi w:val="0"/>
        <w:snapToGrid w:val="0"/>
        <w:spacing w:line="240" w:lineRule="auto"/>
        <w:ind w:firstLine="562"/>
        <w:jc w:val="both"/>
        <w:textAlignment w:val="auto"/>
        <w:outlineLvl w:val="3"/>
        <w:rPr>
          <w:rFonts w:hint="default" w:ascii="Times New Roman" w:hAnsi="Times New Roman" w:eastAsia="仿宋" w:cs="Times New Roman"/>
          <w:sz w:val="24"/>
          <w:szCs w:val="24"/>
          <w:lang w:eastAsia="zh-CN"/>
        </w:rPr>
      </w:pPr>
      <w:r>
        <w:rPr>
          <w:rFonts w:hint="default" w:ascii="Times New Roman" w:hAnsi="Times New Roman" w:eastAsia="仿宋" w:cs="Times New Roman"/>
          <w:b/>
          <w:bCs/>
          <w:sz w:val="24"/>
          <w:szCs w:val="24"/>
        </w:rPr>
        <w:t>（1）项目</w:t>
      </w:r>
      <w:r>
        <w:rPr>
          <w:rFonts w:hint="default" w:ascii="Times New Roman" w:hAnsi="Times New Roman" w:eastAsia="仿宋" w:cs="Times New Roman"/>
          <w:b/>
          <w:bCs/>
          <w:sz w:val="24"/>
          <w:szCs w:val="24"/>
          <w:lang w:val="en-US" w:eastAsia="zh-CN"/>
        </w:rPr>
        <w:t>名称</w:t>
      </w:r>
      <w:r>
        <w:rPr>
          <w:rFonts w:hint="eastAsia" w:ascii="Times New Roman" w:hAnsi="Times New Roman" w:eastAsia="仿宋" w:cs="Times New Roman"/>
          <w:b/>
          <w:bCs/>
          <w:sz w:val="24"/>
          <w:szCs w:val="24"/>
          <w:lang w:val="en-US" w:eastAsia="zh-CN"/>
        </w:rPr>
        <w:t>：</w:t>
      </w:r>
      <w:bookmarkStart w:id="19" w:name="_Hlk214436854"/>
      <w:r>
        <w:rPr>
          <w:rFonts w:hint="default" w:ascii="Times New Roman" w:hAnsi="Times New Roman" w:eastAsia="仿宋" w:cs="Times New Roman"/>
          <w:color w:val="auto"/>
          <w:sz w:val="24"/>
          <w:szCs w:val="24"/>
          <w:lang w:val="en-US" w:eastAsia="zh-CN"/>
        </w:rPr>
        <w:t>康定市跑马山景区旅游基础设施建设项目（一期）</w:t>
      </w:r>
      <w:bookmarkEnd w:id="19"/>
    </w:p>
    <w:p w14:paraId="0B78407A">
      <w:pPr>
        <w:pageBreakBefore w:val="0"/>
        <w:kinsoku/>
        <w:wordWrap/>
        <w:overflowPunct/>
        <w:topLinePunct w:val="0"/>
        <w:bidi w:val="0"/>
        <w:snapToGrid w:val="0"/>
        <w:spacing w:line="240" w:lineRule="auto"/>
        <w:ind w:firstLine="562"/>
        <w:jc w:val="both"/>
        <w:textAlignment w:val="auto"/>
        <w:outlineLvl w:val="3"/>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lang w:eastAsia="zh-CN"/>
        </w:rPr>
        <w:t>（</w:t>
      </w:r>
      <w:r>
        <w:rPr>
          <w:rFonts w:hint="default" w:ascii="Times New Roman" w:hAnsi="Times New Roman" w:eastAsia="仿宋" w:cs="Times New Roman"/>
          <w:b/>
          <w:bCs/>
          <w:sz w:val="24"/>
          <w:szCs w:val="24"/>
          <w:lang w:val="en-US" w:eastAsia="zh-CN"/>
        </w:rPr>
        <w:t>2</w:t>
      </w:r>
      <w:r>
        <w:rPr>
          <w:rFonts w:hint="default" w:ascii="Times New Roman" w:hAnsi="Times New Roman" w:eastAsia="仿宋" w:cs="Times New Roman"/>
          <w:b/>
          <w:bCs/>
          <w:sz w:val="24"/>
          <w:szCs w:val="24"/>
          <w:lang w:eastAsia="zh-CN"/>
        </w:rPr>
        <w:t>）</w:t>
      </w:r>
      <w:r>
        <w:rPr>
          <w:rFonts w:hint="default" w:ascii="Times New Roman" w:hAnsi="Times New Roman" w:eastAsia="仿宋" w:cs="Times New Roman"/>
          <w:b/>
          <w:bCs/>
          <w:sz w:val="24"/>
          <w:szCs w:val="24"/>
          <w:lang w:val="en-US" w:eastAsia="zh-CN"/>
        </w:rPr>
        <w:t>项目所属领域：</w:t>
      </w:r>
      <w:r>
        <w:rPr>
          <w:rFonts w:hint="default" w:ascii="Times New Roman" w:hAnsi="Times New Roman" w:eastAsia="仿宋" w:cs="Times New Roman"/>
          <w:sz w:val="24"/>
          <w:szCs w:val="24"/>
        </w:rPr>
        <w:t>社会事业</w:t>
      </w:r>
      <w:r>
        <w:rPr>
          <w:rFonts w:hint="eastAsia" w:ascii="Times New Roman" w:hAnsi="Times New Roman" w:eastAsia="仿宋" w:cs="Times New Roman"/>
          <w:sz w:val="24"/>
          <w:szCs w:val="24"/>
          <w:lang w:eastAsia="zh-CN"/>
        </w:rPr>
        <w:t>－</w:t>
      </w:r>
      <w:r>
        <w:rPr>
          <w:rFonts w:hint="default" w:ascii="Times New Roman" w:hAnsi="Times New Roman" w:eastAsia="仿宋" w:cs="Times New Roman"/>
          <w:sz w:val="24"/>
          <w:szCs w:val="24"/>
        </w:rPr>
        <w:t>文化旅游，属于有一定收益的公益性事业领域的项目</w:t>
      </w:r>
    </w:p>
    <w:p w14:paraId="5E24FBC4">
      <w:pPr>
        <w:pageBreakBefore w:val="0"/>
        <w:kinsoku/>
        <w:wordWrap/>
        <w:overflowPunct/>
        <w:topLinePunct w:val="0"/>
        <w:bidi w:val="0"/>
        <w:snapToGrid w:val="0"/>
        <w:spacing w:line="240" w:lineRule="auto"/>
        <w:ind w:firstLine="560"/>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b/>
          <w:bCs/>
          <w:sz w:val="24"/>
          <w:szCs w:val="24"/>
          <w:lang w:val="en-US" w:eastAsia="zh-CN"/>
        </w:rPr>
        <w:t>（3）项目建设内容及规模：</w:t>
      </w:r>
      <w:bookmarkStart w:id="20" w:name="OLE_LINK16"/>
      <w:r>
        <w:rPr>
          <w:rFonts w:hint="default" w:ascii="Times New Roman" w:hAnsi="Times New Roman" w:eastAsia="仿宋" w:cs="Times New Roman"/>
          <w:sz w:val="24"/>
          <w:szCs w:val="24"/>
          <w:lang w:val="en-US" w:eastAsia="zh-CN"/>
        </w:rPr>
        <w:t>新建游客中心3,851.69平方米，安全数智管控中心296.13平方米，旅游大巴上下客平台2,300.00平方米、地下配套用房2,071平方米、公共区域，疏散空间3,400平方米，停车位128个，充电桩49个</w:t>
      </w:r>
      <w:r>
        <w:rPr>
          <w:rFonts w:hint="eastAsia" w:ascii="Times New Roman" w:hAnsi="Times New Roman" w:eastAsia="仿宋" w:cs="Times New Roman"/>
          <w:sz w:val="24"/>
          <w:szCs w:val="24"/>
          <w:lang w:val="en-US" w:eastAsia="zh-CN"/>
        </w:rPr>
        <w:t>，</w:t>
      </w:r>
      <w:r>
        <w:rPr>
          <w:rFonts w:hint="default" w:ascii="Times New Roman" w:hAnsi="Times New Roman" w:eastAsia="仿宋" w:cs="Times New Roman"/>
          <w:sz w:val="24"/>
          <w:szCs w:val="24"/>
          <w:lang w:val="en-US" w:eastAsia="zh-CN"/>
        </w:rPr>
        <w:t>跑马山水井子入口799.31平方米，游客中心广场（屋顶平台）1581.84平方米，公主桥连接步道，栈道工程及配套设施；改造跑马山原售票处修缮2300平方米、索道下站房修缮1200平方米等配套工程。</w:t>
      </w:r>
    </w:p>
    <w:bookmarkEnd w:id="20"/>
    <w:p w14:paraId="37D75746">
      <w:pPr>
        <w:pageBreakBefore w:val="0"/>
        <w:kinsoku/>
        <w:wordWrap/>
        <w:overflowPunct/>
        <w:topLinePunct w:val="0"/>
        <w:bidi w:val="0"/>
        <w:snapToGrid w:val="0"/>
        <w:spacing w:line="240" w:lineRule="auto"/>
        <w:ind w:left="0" w:leftChars="0" w:firstLine="0" w:firstLineChars="0"/>
        <w:textAlignment w:val="auto"/>
        <w:outlineLvl w:val="0"/>
        <w:rPr>
          <w:rFonts w:hint="eastAsia" w:ascii="仿宋" w:hAnsi="仿宋" w:eastAsia="仿宋" w:cs="仿宋"/>
          <w:b/>
          <w:bCs/>
          <w:sz w:val="24"/>
          <w:szCs w:val="24"/>
        </w:rPr>
      </w:pPr>
      <w:bookmarkStart w:id="21" w:name="_Toc7196"/>
      <w:bookmarkStart w:id="22" w:name="_Toc4700"/>
      <w:bookmarkStart w:id="23" w:name="_Toc22214"/>
      <w:r>
        <w:rPr>
          <w:rFonts w:hint="eastAsia" w:ascii="仿宋" w:hAnsi="仿宋" w:eastAsia="仿宋" w:cs="仿宋"/>
          <w:b/>
          <w:bCs/>
          <w:sz w:val="24"/>
          <w:szCs w:val="24"/>
        </w:rPr>
        <w:t>二、经济社会效益分析</w:t>
      </w:r>
      <w:bookmarkEnd w:id="21"/>
      <w:bookmarkEnd w:id="22"/>
      <w:bookmarkEnd w:id="23"/>
    </w:p>
    <w:p w14:paraId="71F6A180">
      <w:pPr>
        <w:pageBreakBefore w:val="0"/>
        <w:kinsoku/>
        <w:wordWrap/>
        <w:overflowPunct/>
        <w:topLinePunct w:val="0"/>
        <w:bidi w:val="0"/>
        <w:snapToGrid w:val="0"/>
        <w:spacing w:line="240" w:lineRule="auto"/>
        <w:ind w:firstLine="562"/>
        <w:jc w:val="both"/>
        <w:textAlignment w:val="auto"/>
        <w:outlineLvl w:val="1"/>
        <w:rPr>
          <w:rFonts w:hint="eastAsia" w:ascii="仿宋" w:hAnsi="仿宋" w:eastAsia="仿宋" w:cs="仿宋"/>
          <w:b/>
          <w:bCs/>
          <w:sz w:val="24"/>
          <w:szCs w:val="24"/>
        </w:rPr>
      </w:pPr>
      <w:bookmarkStart w:id="24" w:name="_Toc30859"/>
      <w:bookmarkStart w:id="25" w:name="_Toc7086"/>
      <w:bookmarkStart w:id="26" w:name="_Toc23688"/>
      <w:r>
        <w:rPr>
          <w:rFonts w:hint="eastAsia" w:ascii="仿宋" w:hAnsi="仿宋" w:eastAsia="仿宋" w:cs="仿宋"/>
          <w:b/>
          <w:bCs/>
          <w:sz w:val="24"/>
          <w:szCs w:val="24"/>
        </w:rPr>
        <w:t>（一）社会效益分析</w:t>
      </w:r>
      <w:bookmarkEnd w:id="24"/>
      <w:bookmarkEnd w:id="25"/>
      <w:bookmarkEnd w:id="26"/>
      <w:bookmarkStart w:id="27" w:name="_Toc15895"/>
    </w:p>
    <w:p w14:paraId="1D7ECD1B">
      <w:pPr>
        <w:pageBreakBefore w:val="0"/>
        <w:kinsoku/>
        <w:wordWrap/>
        <w:overflowPunct/>
        <w:topLinePunct w:val="0"/>
        <w:bidi w:val="0"/>
        <w:snapToGrid w:val="0"/>
        <w:spacing w:line="240" w:lineRule="auto"/>
        <w:ind w:firstLine="562"/>
        <w:jc w:val="both"/>
        <w:textAlignment w:val="auto"/>
        <w:outlineLvl w:val="2"/>
        <w:rPr>
          <w:rFonts w:hint="eastAsia" w:ascii="仿宋" w:hAnsi="仿宋" w:eastAsia="仿宋" w:cs="仿宋"/>
          <w:b/>
          <w:bCs/>
          <w:sz w:val="24"/>
          <w:szCs w:val="24"/>
        </w:rPr>
      </w:pPr>
      <w:bookmarkStart w:id="28" w:name="_Toc26891"/>
      <w:r>
        <w:rPr>
          <w:rFonts w:hint="eastAsia" w:ascii="仿宋" w:hAnsi="仿宋" w:eastAsia="仿宋" w:cs="仿宋"/>
          <w:b/>
          <w:bCs/>
          <w:sz w:val="24"/>
          <w:szCs w:val="24"/>
        </w:rPr>
        <w:t>1</w:t>
      </w:r>
      <w:r>
        <w:rPr>
          <w:rFonts w:hint="eastAsia" w:ascii="仿宋" w:hAnsi="仿宋" w:eastAsia="仿宋" w:cs="仿宋"/>
          <w:b/>
          <w:bCs/>
          <w:sz w:val="24"/>
          <w:szCs w:val="24"/>
          <w:lang w:val="en-US" w:eastAsia="zh-CN"/>
        </w:rPr>
        <w:t>.</w:t>
      </w:r>
      <w:r>
        <w:rPr>
          <w:rFonts w:hint="eastAsia" w:ascii="仿宋" w:hAnsi="仿宋" w:eastAsia="仿宋" w:cs="仿宋"/>
          <w:b/>
          <w:bCs/>
          <w:sz w:val="24"/>
          <w:szCs w:val="24"/>
        </w:rPr>
        <w:t>项目开发有利于扩大对外交流与国际接轨</w:t>
      </w:r>
      <w:bookmarkEnd w:id="28"/>
    </w:p>
    <w:p w14:paraId="5170B9DE">
      <w:pPr>
        <w:pageBreakBefore w:val="0"/>
        <w:kinsoku/>
        <w:wordWrap/>
        <w:overflowPunct/>
        <w:topLinePunct w:val="0"/>
        <w:bidi w:val="0"/>
        <w:snapToGrid w:val="0"/>
        <w:spacing w:line="240" w:lineRule="auto"/>
        <w:ind w:firstLine="562"/>
        <w:jc w:val="both"/>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本项目的建设能充分利用康定市的经济和文化优势，积极开掘和整合四川省旅游文化遗产资源，提升对外文化交流的规模和品质；能大力拓展对外交流渠道，发展文化外贸，加快形成出口优势。</w:t>
      </w:r>
    </w:p>
    <w:p w14:paraId="7278A832">
      <w:pPr>
        <w:pageBreakBefore w:val="0"/>
        <w:kinsoku/>
        <w:wordWrap/>
        <w:overflowPunct/>
        <w:topLinePunct w:val="0"/>
        <w:bidi w:val="0"/>
        <w:snapToGrid w:val="0"/>
        <w:spacing w:line="240" w:lineRule="auto"/>
        <w:ind w:firstLine="562"/>
        <w:jc w:val="both"/>
        <w:textAlignment w:val="auto"/>
        <w:outlineLvl w:val="2"/>
        <w:rPr>
          <w:rFonts w:hint="eastAsia" w:ascii="仿宋" w:hAnsi="仿宋" w:eastAsia="仿宋" w:cs="仿宋"/>
          <w:b/>
          <w:bCs/>
          <w:sz w:val="24"/>
          <w:szCs w:val="24"/>
        </w:rPr>
      </w:pPr>
      <w:bookmarkStart w:id="29" w:name="_Toc25255"/>
      <w:r>
        <w:rPr>
          <w:rFonts w:hint="eastAsia" w:ascii="仿宋" w:hAnsi="仿宋" w:eastAsia="仿宋" w:cs="仿宋"/>
          <w:b/>
          <w:bCs/>
          <w:sz w:val="24"/>
          <w:szCs w:val="24"/>
        </w:rPr>
        <w:t>2</w:t>
      </w:r>
      <w:r>
        <w:rPr>
          <w:rFonts w:hint="eastAsia" w:ascii="仿宋" w:hAnsi="仿宋" w:eastAsia="仿宋" w:cs="仿宋"/>
          <w:b/>
          <w:bCs/>
          <w:sz w:val="24"/>
          <w:szCs w:val="24"/>
          <w:lang w:val="en-US" w:eastAsia="zh-CN"/>
        </w:rPr>
        <w:t>.</w:t>
      </w:r>
      <w:r>
        <w:rPr>
          <w:rFonts w:hint="eastAsia" w:ascii="仿宋" w:hAnsi="仿宋" w:eastAsia="仿宋" w:cs="仿宋"/>
          <w:b/>
          <w:bCs/>
          <w:sz w:val="24"/>
          <w:szCs w:val="24"/>
        </w:rPr>
        <w:t>项目建设能够带动当地就业与经济发展</w:t>
      </w:r>
      <w:bookmarkEnd w:id="29"/>
    </w:p>
    <w:p w14:paraId="6C135F47">
      <w:pPr>
        <w:pageBreakBefore w:val="0"/>
        <w:kinsoku/>
        <w:wordWrap/>
        <w:overflowPunct/>
        <w:topLinePunct w:val="0"/>
        <w:bidi w:val="0"/>
        <w:snapToGrid w:val="0"/>
        <w:spacing w:line="240" w:lineRule="auto"/>
        <w:ind w:firstLine="562"/>
        <w:jc w:val="both"/>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康定市旅游事业的发展及游客的增加将有利于加工制造、旅游管理、餐饮住宿、交通运输、休闲娱乐、物业管理等各产业就业岗位的提供，而通常普通的劳动者实行本地招聘，也能对当地就业起到一定程度的带动作用。</w:t>
      </w:r>
    </w:p>
    <w:bookmarkEnd w:id="27"/>
    <w:p w14:paraId="524FEE5B">
      <w:pPr>
        <w:pageBreakBefore w:val="0"/>
        <w:kinsoku/>
        <w:wordWrap/>
        <w:overflowPunct/>
        <w:topLinePunct w:val="0"/>
        <w:bidi w:val="0"/>
        <w:snapToGrid w:val="0"/>
        <w:spacing w:line="240" w:lineRule="auto"/>
        <w:ind w:firstLine="241" w:firstLineChars="100"/>
        <w:jc w:val="both"/>
        <w:textAlignment w:val="auto"/>
        <w:outlineLvl w:val="1"/>
        <w:rPr>
          <w:rFonts w:hint="eastAsia" w:ascii="仿宋" w:hAnsi="仿宋" w:eastAsia="仿宋" w:cs="仿宋"/>
          <w:sz w:val="24"/>
          <w:szCs w:val="24"/>
          <w:highlight w:val="none"/>
          <w:lang w:val="en-US" w:eastAsia="zh-CN"/>
        </w:rPr>
      </w:pPr>
      <w:bookmarkStart w:id="30" w:name="_Toc28395"/>
      <w:bookmarkStart w:id="31" w:name="_Toc23799"/>
      <w:bookmarkStart w:id="32" w:name="_Toc15560"/>
      <w:r>
        <w:rPr>
          <w:rFonts w:hint="eastAsia" w:ascii="仿宋" w:hAnsi="仿宋" w:eastAsia="仿宋" w:cs="仿宋"/>
          <w:b/>
          <w:bCs/>
          <w:sz w:val="24"/>
          <w:szCs w:val="24"/>
        </w:rPr>
        <w:t>（二）经济效益分析</w:t>
      </w:r>
      <w:bookmarkEnd w:id="30"/>
      <w:bookmarkEnd w:id="31"/>
      <w:bookmarkEnd w:id="32"/>
    </w:p>
    <w:p w14:paraId="10109AF8">
      <w:pPr>
        <w:pageBreakBefore w:val="0"/>
        <w:kinsoku/>
        <w:wordWrap/>
        <w:overflowPunct/>
        <w:topLinePunct w:val="0"/>
        <w:bidi w:val="0"/>
        <w:snapToGrid w:val="0"/>
        <w:spacing w:line="240" w:lineRule="auto"/>
        <w:ind w:firstLine="560"/>
        <w:jc w:val="both"/>
        <w:textAlignment w:val="auto"/>
        <w:outlineLvl w:val="2"/>
        <w:rPr>
          <w:rFonts w:hint="eastAsia" w:ascii="仿宋" w:hAnsi="仿宋" w:eastAsia="仿宋" w:cs="仿宋"/>
          <w:sz w:val="24"/>
          <w:szCs w:val="24"/>
          <w:highlight w:val="none"/>
          <w:lang w:val="en-US" w:eastAsia="zh-CN"/>
        </w:rPr>
      </w:pPr>
      <w:bookmarkStart w:id="33" w:name="_Toc17472"/>
      <w:r>
        <w:rPr>
          <w:rFonts w:hint="eastAsia" w:ascii="仿宋" w:hAnsi="仿宋" w:eastAsia="仿宋" w:cs="仿宋"/>
          <w:b/>
          <w:bCs/>
          <w:kern w:val="0"/>
          <w:sz w:val="24"/>
          <w:szCs w:val="24"/>
          <w:lang w:val="en-US" w:eastAsia="zh-CN" w:bidi="ar-SA"/>
        </w:rPr>
        <w:t>1.项目开发有利于促进地方经济发展</w:t>
      </w:r>
      <w:bookmarkEnd w:id="33"/>
    </w:p>
    <w:p w14:paraId="4D4620C1">
      <w:pPr>
        <w:pageBreakBefore w:val="0"/>
        <w:kinsoku/>
        <w:wordWrap/>
        <w:overflowPunct/>
        <w:topLinePunct w:val="0"/>
        <w:bidi w:val="0"/>
        <w:snapToGrid w:val="0"/>
        <w:spacing w:line="240" w:lineRule="auto"/>
        <w:ind w:firstLine="56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旅游产业的社会化程度高、综合性强、极具发展潜力，是一大新兴产业、朝阳产业和可持续发展行业。康定市全域旅游的快速发展，将有利于带动地方第三产业的发展，有利于促进地方经济和社会的综合发展。</w:t>
      </w:r>
    </w:p>
    <w:p w14:paraId="1A179583">
      <w:pPr>
        <w:pageBreakBefore w:val="0"/>
        <w:kinsoku/>
        <w:wordWrap/>
        <w:overflowPunct/>
        <w:topLinePunct w:val="0"/>
        <w:bidi w:val="0"/>
        <w:snapToGrid w:val="0"/>
        <w:spacing w:line="240" w:lineRule="auto"/>
        <w:ind w:firstLine="560"/>
        <w:jc w:val="both"/>
        <w:textAlignment w:val="auto"/>
        <w:outlineLvl w:val="2"/>
        <w:rPr>
          <w:rFonts w:hint="eastAsia" w:ascii="仿宋" w:hAnsi="仿宋" w:eastAsia="仿宋" w:cs="仿宋"/>
          <w:b/>
          <w:bCs/>
          <w:kern w:val="0"/>
          <w:sz w:val="24"/>
          <w:szCs w:val="24"/>
          <w:lang w:val="en-US" w:eastAsia="zh-CN" w:bidi="ar-SA"/>
        </w:rPr>
      </w:pPr>
      <w:bookmarkStart w:id="34" w:name="_Toc4235"/>
      <w:bookmarkStart w:id="35" w:name="_Toc214387207"/>
      <w:r>
        <w:rPr>
          <w:rFonts w:hint="eastAsia" w:ascii="仿宋" w:hAnsi="仿宋" w:eastAsia="仿宋" w:cs="仿宋"/>
          <w:b/>
          <w:bCs/>
          <w:kern w:val="0"/>
          <w:sz w:val="24"/>
          <w:szCs w:val="24"/>
          <w:lang w:val="en-US" w:eastAsia="zh-CN" w:bidi="ar-SA"/>
        </w:rPr>
        <w:t>2、项目开发有利于改善投资环境，促进招商引资</w:t>
      </w:r>
      <w:bookmarkEnd w:id="34"/>
      <w:bookmarkEnd w:id="35"/>
    </w:p>
    <w:p w14:paraId="0F135258">
      <w:pPr>
        <w:pageBreakBefore w:val="0"/>
        <w:kinsoku/>
        <w:wordWrap/>
        <w:overflowPunct/>
        <w:topLinePunct w:val="0"/>
        <w:bidi w:val="0"/>
        <w:snapToGrid w:val="0"/>
        <w:spacing w:line="240" w:lineRule="auto"/>
        <w:ind w:firstLine="56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许多国内外投资者都是通过旅游来认识和了解当地的投资环境以及丰富的旅游资源和潜在的旅游市场。因此，国际上普遍认为旅游业是最优秀的出口产业。通过康定市全域旅游景观节点打造及基础设施的建设，可提升康定市旅游形象，旅游人数增加，投资者增加，都会为当地增加资金积累和财政收入。</w:t>
      </w:r>
    </w:p>
    <w:p w14:paraId="5C2D631B">
      <w:pPr>
        <w:pageBreakBefore w:val="0"/>
        <w:kinsoku/>
        <w:wordWrap/>
        <w:overflowPunct/>
        <w:topLinePunct w:val="0"/>
        <w:bidi w:val="0"/>
        <w:adjustRightInd w:val="0"/>
        <w:snapToGrid w:val="0"/>
        <w:spacing w:line="240" w:lineRule="auto"/>
        <w:ind w:firstLine="241" w:firstLineChars="100"/>
        <w:jc w:val="both"/>
        <w:textAlignment w:val="auto"/>
        <w:outlineLvl w:val="0"/>
        <w:rPr>
          <w:rFonts w:hint="eastAsia" w:ascii="仿宋" w:hAnsi="仿宋" w:eastAsia="仿宋" w:cs="仿宋"/>
          <w:sz w:val="24"/>
          <w:szCs w:val="24"/>
        </w:rPr>
      </w:pPr>
      <w:bookmarkStart w:id="36" w:name="_Toc11935"/>
      <w:r>
        <w:rPr>
          <w:rFonts w:hint="eastAsia" w:ascii="仿宋" w:hAnsi="仿宋" w:eastAsia="仿宋" w:cs="仿宋"/>
          <w:b/>
          <w:bCs/>
          <w:sz w:val="24"/>
          <w:szCs w:val="24"/>
        </w:rPr>
        <w:t>三、项目投资估算与资金筹措方案</w:t>
      </w:r>
      <w:bookmarkEnd w:id="36"/>
    </w:p>
    <w:p w14:paraId="037974D4">
      <w:pPr>
        <w:pageBreakBefore w:val="0"/>
        <w:kinsoku/>
        <w:wordWrap/>
        <w:overflowPunct/>
        <w:topLinePunct w:val="0"/>
        <w:bidi w:val="0"/>
        <w:adjustRightInd w:val="0"/>
        <w:snapToGrid w:val="0"/>
        <w:spacing w:line="240" w:lineRule="auto"/>
        <w:ind w:firstLine="562"/>
        <w:jc w:val="both"/>
        <w:textAlignment w:val="auto"/>
        <w:outlineLvl w:val="1"/>
        <w:rPr>
          <w:rFonts w:hint="eastAsia" w:ascii="仿宋" w:hAnsi="仿宋" w:eastAsia="仿宋" w:cs="仿宋"/>
          <w:sz w:val="24"/>
          <w:szCs w:val="24"/>
        </w:rPr>
      </w:pPr>
      <w:bookmarkStart w:id="37" w:name="_Toc19607"/>
      <w:bookmarkStart w:id="38" w:name="_Toc22946"/>
      <w:bookmarkStart w:id="39" w:name="_Toc8546"/>
      <w:r>
        <w:rPr>
          <w:rFonts w:hint="eastAsia" w:ascii="仿宋" w:hAnsi="仿宋" w:eastAsia="仿宋" w:cs="仿宋"/>
          <w:b/>
          <w:bCs/>
          <w:sz w:val="24"/>
          <w:szCs w:val="24"/>
        </w:rPr>
        <w:t>（一）投资估算</w:t>
      </w:r>
      <w:bookmarkEnd w:id="37"/>
      <w:bookmarkEnd w:id="38"/>
      <w:bookmarkEnd w:id="39"/>
    </w:p>
    <w:p w14:paraId="5895752D">
      <w:pPr>
        <w:pageBreakBefore w:val="0"/>
        <w:kinsoku/>
        <w:wordWrap/>
        <w:overflowPunct/>
        <w:topLinePunct w:val="0"/>
        <w:bidi w:val="0"/>
        <w:snapToGrid w:val="0"/>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highlight w:val="none"/>
        </w:rPr>
        <w:t>本项目总投资39164.58万元，其中工程费用31224.40万元，工程建设其他费用3657.41万元，预备费1912.77万元，建设期利息及融资费用2370.00万元</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其中</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建设期利息2340</w:t>
      </w:r>
      <w:r>
        <w:rPr>
          <w:rFonts w:hint="eastAsia" w:ascii="仿宋" w:hAnsi="仿宋" w:eastAsia="仿宋" w:cs="仿宋"/>
          <w:sz w:val="24"/>
          <w:szCs w:val="24"/>
          <w:highlight w:val="none"/>
          <w:lang w:eastAsia="zh-CN"/>
        </w:rPr>
        <w:t>万元</w:t>
      </w:r>
      <w:r>
        <w:rPr>
          <w:rFonts w:hint="eastAsia" w:ascii="仿宋" w:hAnsi="仿宋" w:eastAsia="仿宋" w:cs="仿宋"/>
          <w:sz w:val="24"/>
          <w:szCs w:val="24"/>
          <w:highlight w:val="none"/>
        </w:rPr>
        <w:t>、发行费用30</w:t>
      </w:r>
      <w:r>
        <w:rPr>
          <w:rFonts w:hint="eastAsia" w:ascii="仿宋" w:hAnsi="仿宋" w:eastAsia="仿宋" w:cs="仿宋"/>
          <w:sz w:val="24"/>
          <w:szCs w:val="24"/>
          <w:highlight w:val="none"/>
          <w:lang w:eastAsia="zh-CN"/>
        </w:rPr>
        <w:t>万元</w:t>
      </w:r>
      <w:r>
        <w:rPr>
          <w:rFonts w:hint="eastAsia" w:ascii="仿宋" w:hAnsi="仿宋" w:eastAsia="仿宋" w:cs="仿宋"/>
          <w:sz w:val="24"/>
          <w:szCs w:val="24"/>
          <w:highlight w:val="none"/>
        </w:rPr>
        <w:t>）</w:t>
      </w:r>
    </w:p>
    <w:p w14:paraId="314D0570">
      <w:pPr>
        <w:pStyle w:val="3"/>
        <w:pageBreakBefore w:val="0"/>
        <w:kinsoku/>
        <w:wordWrap/>
        <w:overflowPunct/>
        <w:topLinePunct w:val="0"/>
        <w:bidi w:val="0"/>
        <w:snapToGrid w:val="0"/>
        <w:spacing w:before="0" w:beforeLines="0" w:line="240" w:lineRule="auto"/>
        <w:textAlignment w:val="auto"/>
        <w:rPr>
          <w:rFonts w:hint="eastAsia" w:ascii="仿宋" w:hAnsi="仿宋" w:eastAsia="仿宋" w:cs="仿宋"/>
          <w:sz w:val="24"/>
          <w:szCs w:val="24"/>
        </w:rPr>
      </w:pPr>
      <w:bookmarkStart w:id="40" w:name="_Toc3818_WPSOffice_Level2"/>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）资金筹措方案</w:t>
      </w:r>
      <w:bookmarkEnd w:id="40"/>
      <w:r>
        <w:rPr>
          <w:rFonts w:hint="eastAsia" w:ascii="仿宋" w:hAnsi="仿宋" w:eastAsia="仿宋" w:cs="仿宋"/>
          <w:sz w:val="24"/>
          <w:szCs w:val="24"/>
        </w:rPr>
        <w:t xml:space="preserve"> </w:t>
      </w:r>
    </w:p>
    <w:p w14:paraId="77FD394D">
      <w:pPr>
        <w:keepNext w:val="0"/>
        <w:keepLines w:val="0"/>
        <w:pageBreakBefore w:val="0"/>
        <w:widowControl w:val="0"/>
        <w:kinsoku/>
        <w:wordWrap/>
        <w:overflowPunct/>
        <w:topLinePunct w:val="0"/>
        <w:autoSpaceDE/>
        <w:autoSpaceDN/>
        <w:bidi w:val="0"/>
        <w:snapToGrid w:val="0"/>
        <w:spacing w:line="240" w:lineRule="auto"/>
        <w:ind w:firstLine="562"/>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1.资金筹集情况</w:t>
      </w:r>
    </w:p>
    <w:p w14:paraId="50347979">
      <w:pPr>
        <w:pStyle w:val="4"/>
        <w:keepNext w:val="0"/>
        <w:keepLines w:val="0"/>
        <w:pageBreakBefore w:val="0"/>
        <w:widowControl w:val="0"/>
        <w:kinsoku/>
        <w:wordWrap/>
        <w:overflowPunct/>
        <w:topLinePunct w:val="0"/>
        <w:autoSpaceDE/>
        <w:autoSpaceDN/>
        <w:bidi w:val="0"/>
        <w:adjustRightInd w:val="0"/>
        <w:snapToGrid w:val="0"/>
        <w:spacing w:before="0" w:beforeAutospacing="0" w:after="0" w:line="24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本项目总投资39164.58万元，资金来源为专项债券资金和地方财政配套资金。其中，康定市财政统筹安排9164.58万元作为项目资本金，占总投资的23.40%。拟申请专项债资金30000</w:t>
      </w:r>
      <w:r>
        <w:rPr>
          <w:rFonts w:hint="eastAsia" w:ascii="仿宋" w:hAnsi="仿宋" w:eastAsia="仿宋" w:cs="仿宋"/>
          <w:b w:val="0"/>
          <w:bCs w:val="0"/>
          <w:sz w:val="24"/>
          <w:szCs w:val="24"/>
          <w:lang w:val="en-US" w:eastAsia="zh-CN"/>
        </w:rPr>
        <w:t>.00</w:t>
      </w:r>
      <w:r>
        <w:rPr>
          <w:rFonts w:hint="eastAsia" w:ascii="仿宋" w:hAnsi="仿宋" w:eastAsia="仿宋" w:cs="仿宋"/>
          <w:b w:val="0"/>
          <w:bCs w:val="0"/>
          <w:sz w:val="24"/>
          <w:szCs w:val="24"/>
        </w:rPr>
        <w:t>万元，占总投资的76.60%，2023年已成功发行15000.00万元，债券期限为20年；2026年拟申请发行15000.00万元，债券期限为30年。</w:t>
      </w:r>
    </w:p>
    <w:p w14:paraId="4322E91F">
      <w:pPr>
        <w:pageBreakBefore w:val="0"/>
        <w:numPr>
          <w:ilvl w:val="0"/>
          <w:numId w:val="1"/>
        </w:numPr>
        <w:kinsoku/>
        <w:wordWrap/>
        <w:overflowPunct/>
        <w:topLinePunct w:val="0"/>
        <w:bidi w:val="0"/>
        <w:snapToGrid w:val="0"/>
        <w:spacing w:line="240" w:lineRule="auto"/>
        <w:ind w:firstLine="482" w:firstLineChars="200"/>
        <w:jc w:val="left"/>
        <w:textAlignment w:val="auto"/>
        <w:rPr>
          <w:rFonts w:hint="default" w:ascii="Times New Roman" w:eastAsia="仿宋"/>
          <w:b/>
          <w:bCs/>
          <w:sz w:val="24"/>
          <w:szCs w:val="24"/>
          <w:lang w:val="en-US" w:eastAsia="zh-CN"/>
        </w:rPr>
      </w:pPr>
      <w:r>
        <w:rPr>
          <w:rFonts w:hint="default" w:ascii="Times New Roman" w:eastAsia="仿宋"/>
          <w:b/>
          <w:bCs/>
          <w:sz w:val="24"/>
          <w:szCs w:val="24"/>
          <w:lang w:val="en-US" w:eastAsia="zh-CN"/>
        </w:rPr>
        <w:t>资金使用计划</w:t>
      </w:r>
    </w:p>
    <w:p w14:paraId="5EA08154">
      <w:pPr>
        <w:pageBreakBefore w:val="0"/>
        <w:kinsoku/>
        <w:wordWrap/>
        <w:overflowPunct/>
        <w:topLinePunct w:val="0"/>
        <w:bidi w:val="0"/>
        <w:snapToGrid w:val="0"/>
        <w:spacing w:line="240" w:lineRule="auto"/>
        <w:ind w:firstLine="560"/>
        <w:jc w:val="both"/>
        <w:textAlignment w:val="auto"/>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截至2025年</w:t>
      </w:r>
      <w:r>
        <w:rPr>
          <w:rFonts w:hint="eastAsia" w:ascii="Times New Roman" w:hAnsi="Times New Roman" w:eastAsia="仿宋" w:cs="Times New Roman"/>
          <w:sz w:val="24"/>
          <w:szCs w:val="24"/>
          <w:lang w:val="en-US" w:eastAsia="zh-CN"/>
        </w:rPr>
        <w:t>底</w:t>
      </w:r>
      <w:r>
        <w:rPr>
          <w:rFonts w:hint="eastAsia" w:ascii="Times New Roman" w:hAnsi="Times New Roman" w:eastAsia="仿宋" w:cs="Times New Roman"/>
          <w:sz w:val="24"/>
          <w:szCs w:val="24"/>
        </w:rPr>
        <w:t>，本项目已累计使用资金</w:t>
      </w:r>
      <w:r>
        <w:rPr>
          <w:rFonts w:hint="eastAsia" w:ascii="Times New Roman" w:hAnsi="Times New Roman" w:eastAsia="仿宋" w:cs="Times New Roman"/>
          <w:sz w:val="24"/>
          <w:szCs w:val="24"/>
          <w:lang w:val="en-US" w:eastAsia="zh-CN"/>
        </w:rPr>
        <w:t>21</w:t>
      </w:r>
      <w:r>
        <w:rPr>
          <w:rFonts w:hint="eastAsia" w:ascii="Times New Roman" w:hAnsi="Times New Roman" w:eastAsia="仿宋" w:cs="Times New Roman"/>
          <w:sz w:val="24"/>
          <w:szCs w:val="24"/>
        </w:rPr>
        <w:t>300.00万元。计划于2026年发行债券资金15000.00万元，并由市财政配套安排资金2864.58万元。上述资金将严格根据工程进展及合同约定进行支付，确保项目</w:t>
      </w:r>
      <w:r>
        <w:rPr>
          <w:rFonts w:hint="eastAsia" w:ascii="Times New Roman" w:hAnsi="Times New Roman" w:eastAsia="仿宋" w:cs="Times New Roman"/>
          <w:sz w:val="24"/>
          <w:szCs w:val="24"/>
          <w:lang w:val="en-US" w:eastAsia="zh-CN"/>
        </w:rPr>
        <w:t>下</w:t>
      </w:r>
      <w:r>
        <w:rPr>
          <w:rFonts w:hint="eastAsia" w:ascii="Times New Roman" w:hAnsi="Times New Roman" w:eastAsia="仿宋" w:cs="Times New Roman"/>
          <w:sz w:val="24"/>
          <w:szCs w:val="24"/>
        </w:rPr>
        <w:t>半年顺利竣工。</w:t>
      </w:r>
    </w:p>
    <w:p w14:paraId="468520CD">
      <w:pPr>
        <w:pageBreakBefore w:val="0"/>
        <w:kinsoku/>
        <w:wordWrap/>
        <w:overflowPunct/>
        <w:topLinePunct w:val="0"/>
        <w:bidi w:val="0"/>
        <w:adjustRightInd w:val="0"/>
        <w:snapToGrid w:val="0"/>
        <w:spacing w:line="240" w:lineRule="auto"/>
        <w:ind w:firstLine="0" w:firstLineChars="0"/>
        <w:jc w:val="both"/>
        <w:textAlignment w:val="auto"/>
        <w:outlineLvl w:val="0"/>
        <w:rPr>
          <w:rFonts w:hint="eastAsia" w:ascii="仿宋" w:hAnsi="仿宋" w:eastAsia="仿宋" w:cs="仿宋"/>
          <w:b/>
          <w:bCs/>
          <w:sz w:val="24"/>
          <w:szCs w:val="24"/>
        </w:rPr>
      </w:pPr>
      <w:bookmarkStart w:id="41" w:name="_Toc7047"/>
      <w:bookmarkStart w:id="42" w:name="_Toc24791"/>
      <w:bookmarkStart w:id="43" w:name="_Toc30682"/>
      <w:r>
        <w:rPr>
          <w:rFonts w:hint="eastAsia" w:ascii="仿宋" w:hAnsi="仿宋" w:eastAsia="仿宋" w:cs="仿宋"/>
          <w:b/>
          <w:bCs/>
          <w:sz w:val="24"/>
          <w:szCs w:val="24"/>
        </w:rPr>
        <w:t>四、项目预期收益、成本及融资平衡情况</w:t>
      </w:r>
      <w:bookmarkEnd w:id="41"/>
      <w:bookmarkEnd w:id="42"/>
      <w:bookmarkEnd w:id="43"/>
    </w:p>
    <w:p w14:paraId="409DEAFC">
      <w:pPr>
        <w:pageBreakBefore w:val="0"/>
        <w:kinsoku/>
        <w:wordWrap/>
        <w:overflowPunct/>
        <w:topLinePunct w:val="0"/>
        <w:bidi w:val="0"/>
        <w:snapToGrid w:val="0"/>
        <w:spacing w:line="240" w:lineRule="auto"/>
        <w:ind w:firstLine="562"/>
        <w:jc w:val="both"/>
        <w:textAlignment w:val="auto"/>
        <w:outlineLvl w:val="1"/>
        <w:rPr>
          <w:rFonts w:hint="eastAsia" w:ascii="仿宋" w:hAnsi="仿宋" w:eastAsia="仿宋" w:cs="仿宋"/>
          <w:b/>
          <w:bCs/>
          <w:sz w:val="24"/>
          <w:szCs w:val="24"/>
        </w:rPr>
      </w:pPr>
      <w:bookmarkStart w:id="44" w:name="_Toc1076"/>
      <w:bookmarkStart w:id="45" w:name="_Toc7189"/>
      <w:bookmarkStart w:id="46" w:name="_Toc20008"/>
      <w:r>
        <w:rPr>
          <w:rFonts w:hint="eastAsia" w:ascii="仿宋" w:hAnsi="仿宋" w:eastAsia="仿宋" w:cs="仿宋"/>
          <w:b/>
          <w:bCs/>
          <w:sz w:val="24"/>
          <w:szCs w:val="24"/>
        </w:rPr>
        <w:t>（一）预期收益</w:t>
      </w:r>
      <w:bookmarkEnd w:id="44"/>
      <w:bookmarkEnd w:id="45"/>
      <w:bookmarkEnd w:id="46"/>
    </w:p>
    <w:p w14:paraId="66EF93F0">
      <w:pPr>
        <w:pageBreakBefore w:val="0"/>
        <w:kinsoku/>
        <w:wordWrap/>
        <w:overflowPunct/>
        <w:topLinePunct w:val="0"/>
        <w:bidi w:val="0"/>
        <w:snapToGrid w:val="0"/>
        <w:spacing w:line="240" w:lineRule="auto"/>
        <w:ind w:firstLine="562"/>
        <w:jc w:val="both"/>
        <w:textAlignment w:val="auto"/>
        <w:outlineLvl w:val="2"/>
        <w:rPr>
          <w:rFonts w:hint="eastAsia" w:ascii="仿宋" w:hAnsi="仿宋" w:eastAsia="仿宋" w:cs="仿宋"/>
          <w:b/>
          <w:bCs/>
          <w:sz w:val="24"/>
          <w:szCs w:val="24"/>
        </w:rPr>
      </w:pPr>
      <w:bookmarkStart w:id="47" w:name="_Toc20184"/>
      <w:bookmarkStart w:id="48" w:name="_Toc31033"/>
      <w:bookmarkStart w:id="49" w:name="_Toc19563"/>
      <w:r>
        <w:rPr>
          <w:rFonts w:hint="eastAsia" w:ascii="仿宋" w:hAnsi="仿宋" w:eastAsia="仿宋" w:cs="仿宋"/>
          <w:b/>
          <w:bCs/>
          <w:sz w:val="24"/>
          <w:szCs w:val="24"/>
        </w:rPr>
        <w:t>1、项目收入</w:t>
      </w:r>
      <w:bookmarkEnd w:id="47"/>
      <w:bookmarkEnd w:id="48"/>
      <w:bookmarkEnd w:id="49"/>
    </w:p>
    <w:p w14:paraId="0E54F87F">
      <w:pPr>
        <w:pageBreakBefore w:val="0"/>
        <w:kinsoku/>
        <w:wordWrap/>
        <w:overflowPunct/>
        <w:topLinePunct w:val="0"/>
        <w:bidi w:val="0"/>
        <w:snapToGrid w:val="0"/>
        <w:spacing w:line="240" w:lineRule="auto"/>
        <w:ind w:firstLine="56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本项目收入主要来源为索道服务、文化空间租赁、充电服务及停车服务，均为跑马山一期项目对应资产运营所产生的直接收入。债券存续期</w:t>
      </w:r>
      <w:r>
        <w:rPr>
          <w:rFonts w:hint="eastAsia" w:ascii="仿宋" w:hAnsi="仿宋" w:eastAsia="仿宋" w:cs="仿宋"/>
          <w:sz w:val="24"/>
          <w:szCs w:val="24"/>
        </w:rPr>
        <w:t>运营收入共计</w:t>
      </w:r>
      <w:r>
        <w:rPr>
          <w:rFonts w:hint="eastAsia" w:ascii="仿宋" w:hAnsi="仿宋" w:eastAsia="仿宋" w:cs="仿宋"/>
          <w:sz w:val="24"/>
          <w:szCs w:val="24"/>
          <w:lang w:val="en-US" w:eastAsia="zh-CN"/>
        </w:rPr>
        <w:t>84900.19</w:t>
      </w:r>
      <w:r>
        <w:rPr>
          <w:rFonts w:hint="eastAsia" w:ascii="仿宋" w:hAnsi="仿宋" w:eastAsia="仿宋" w:cs="仿宋"/>
          <w:sz w:val="24"/>
          <w:szCs w:val="24"/>
        </w:rPr>
        <w:t>万元。</w:t>
      </w:r>
    </w:p>
    <w:p w14:paraId="2FE65492">
      <w:pPr>
        <w:pageBreakBefore w:val="0"/>
        <w:kinsoku/>
        <w:wordWrap/>
        <w:overflowPunct/>
        <w:topLinePunct w:val="0"/>
        <w:bidi w:val="0"/>
        <w:snapToGrid w:val="0"/>
        <w:spacing w:line="240" w:lineRule="auto"/>
        <w:ind w:firstLine="562"/>
        <w:jc w:val="both"/>
        <w:textAlignment w:val="auto"/>
        <w:outlineLvl w:val="2"/>
        <w:rPr>
          <w:rFonts w:hint="eastAsia" w:ascii="仿宋" w:hAnsi="仿宋" w:eastAsia="仿宋" w:cs="仿宋"/>
          <w:b/>
          <w:bCs/>
          <w:sz w:val="24"/>
          <w:szCs w:val="24"/>
        </w:rPr>
      </w:pPr>
      <w:bookmarkStart w:id="50" w:name="_Toc20763"/>
      <w:r>
        <w:rPr>
          <w:rFonts w:hint="eastAsia" w:ascii="仿宋" w:hAnsi="仿宋" w:eastAsia="仿宋" w:cs="仿宋"/>
          <w:b/>
          <w:bCs/>
          <w:sz w:val="24"/>
          <w:szCs w:val="24"/>
        </w:rPr>
        <w:t>2、项目成本</w:t>
      </w:r>
      <w:bookmarkEnd w:id="50"/>
    </w:p>
    <w:p w14:paraId="0F08D1FA">
      <w:pPr>
        <w:pStyle w:val="4"/>
        <w:keepNext w:val="0"/>
        <w:keepLines w:val="0"/>
        <w:pageBreakBefore w:val="0"/>
        <w:widowControl w:val="0"/>
        <w:kinsoku/>
        <w:wordWrap/>
        <w:overflowPunct/>
        <w:topLinePunct w:val="0"/>
        <w:autoSpaceDE w:val="0"/>
        <w:autoSpaceDN w:val="0"/>
        <w:bidi w:val="0"/>
        <w:adjustRightInd w:val="0"/>
        <w:snapToGrid w:val="0"/>
        <w:spacing w:before="0" w:beforeAutospacing="0" w:after="0" w:line="240" w:lineRule="auto"/>
        <w:ind w:left="0" w:right="0" w:firstLine="480" w:firstLineChars="200"/>
        <w:textAlignment w:val="auto"/>
        <w:rPr>
          <w:rFonts w:hint="eastAsia" w:ascii="仿宋" w:hAnsi="仿宋" w:eastAsia="仿宋" w:cs="仿宋"/>
          <w:color w:val="auto"/>
          <w:sz w:val="24"/>
          <w:szCs w:val="24"/>
        </w:rPr>
        <w:sectPr>
          <w:pgSz w:w="11906" w:h="16838"/>
          <w:pgMar w:top="1440" w:right="1803" w:bottom="1440" w:left="1803" w:header="851" w:footer="992" w:gutter="0"/>
          <w:pgNumType w:fmt="decimal"/>
          <w:cols w:space="0" w:num="1"/>
          <w:docGrid w:type="lines" w:linePitch="332" w:charSpace="0"/>
        </w:sectPr>
      </w:pPr>
      <w:r>
        <w:rPr>
          <w:rFonts w:hint="eastAsia" w:ascii="仿宋" w:hAnsi="仿宋" w:eastAsia="仿宋" w:cs="仿宋"/>
          <w:sz w:val="24"/>
          <w:szCs w:val="24"/>
        </w:rPr>
        <w:t>本项目主要成本包括经营成本（包括燃料动力费、维修费、职工工资及福利</w:t>
      </w:r>
      <w:r>
        <w:rPr>
          <w:rFonts w:hint="eastAsia" w:ascii="仿宋" w:hAnsi="仿宋" w:eastAsia="仿宋" w:cs="仿宋"/>
          <w:sz w:val="24"/>
          <w:szCs w:val="24"/>
          <w:lang w:val="en-US" w:eastAsia="zh-CN"/>
        </w:rPr>
        <w:t>、</w:t>
      </w:r>
      <w:r>
        <w:rPr>
          <w:rFonts w:hint="eastAsia" w:ascii="仿宋" w:hAnsi="仿宋" w:eastAsia="仿宋" w:cs="仿宋"/>
          <w:sz w:val="24"/>
          <w:szCs w:val="24"/>
        </w:rPr>
        <w:t>管理费用</w:t>
      </w:r>
      <w:r>
        <w:rPr>
          <w:rFonts w:hint="eastAsia" w:ascii="仿宋" w:hAnsi="仿宋" w:eastAsia="仿宋" w:cs="仿宋"/>
          <w:sz w:val="24"/>
          <w:szCs w:val="24"/>
          <w:lang w:val="en-US" w:eastAsia="zh-CN"/>
        </w:rPr>
        <w:t>和其他费用</w:t>
      </w:r>
      <w:r>
        <w:rPr>
          <w:rFonts w:hint="eastAsia" w:ascii="仿宋" w:hAnsi="仿宋" w:eastAsia="仿宋" w:cs="仿宋"/>
          <w:sz w:val="24"/>
          <w:szCs w:val="24"/>
        </w:rPr>
        <w:t>）、固定资产折旧与摊销费、财务费及相关税费。</w:t>
      </w:r>
      <w:r>
        <w:rPr>
          <w:rFonts w:hint="eastAsia" w:ascii="仿宋" w:hAnsi="仿宋" w:eastAsia="仿宋" w:cs="仿宋"/>
          <w:sz w:val="24"/>
          <w:szCs w:val="24"/>
          <w:lang w:val="en-US" w:eastAsia="zh-CN"/>
        </w:rPr>
        <w:t>债券存续期</w:t>
      </w:r>
      <w:r>
        <w:rPr>
          <w:rFonts w:hint="eastAsia" w:ascii="仿宋" w:hAnsi="仿宋" w:eastAsia="仿宋" w:cs="仿宋"/>
          <w:color w:val="auto"/>
          <w:sz w:val="24"/>
          <w:szCs w:val="24"/>
        </w:rPr>
        <w:t>项目</w:t>
      </w:r>
      <w:r>
        <w:rPr>
          <w:rFonts w:hint="eastAsia" w:ascii="仿宋" w:hAnsi="仿宋" w:eastAsia="仿宋" w:cs="仿宋"/>
          <w:color w:val="auto"/>
          <w:sz w:val="24"/>
          <w:szCs w:val="24"/>
          <w:lang w:eastAsia="zh-CN"/>
        </w:rPr>
        <w:t>总</w:t>
      </w:r>
      <w:r>
        <w:rPr>
          <w:rFonts w:hint="eastAsia" w:ascii="仿宋" w:hAnsi="仿宋" w:eastAsia="仿宋" w:cs="仿宋"/>
          <w:color w:val="auto"/>
          <w:sz w:val="24"/>
          <w:szCs w:val="24"/>
        </w:rPr>
        <w:t>成本共计</w:t>
      </w:r>
      <w:r>
        <w:rPr>
          <w:rFonts w:hint="eastAsia" w:ascii="仿宋" w:hAnsi="仿宋" w:eastAsia="仿宋" w:cs="仿宋"/>
          <w:color w:val="auto"/>
          <w:sz w:val="24"/>
          <w:szCs w:val="24"/>
          <w:lang w:val="en-US" w:eastAsia="zh-CN"/>
        </w:rPr>
        <w:t>79145.58</w:t>
      </w:r>
      <w:r>
        <w:rPr>
          <w:rFonts w:hint="eastAsia" w:ascii="仿宋" w:hAnsi="仿宋" w:eastAsia="仿宋" w:cs="仿宋"/>
          <w:color w:val="auto"/>
          <w:sz w:val="24"/>
          <w:szCs w:val="24"/>
        </w:rPr>
        <w:t>万元。</w:t>
      </w:r>
    </w:p>
    <w:p w14:paraId="68E24EB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2"/>
        <w:rPr>
          <w:rFonts w:hint="eastAsia" w:ascii="仿宋" w:hAnsi="仿宋" w:eastAsia="仿宋" w:cs="仿宋"/>
          <w:b/>
          <w:bCs/>
          <w:sz w:val="24"/>
          <w:szCs w:val="24"/>
        </w:rPr>
      </w:pPr>
      <w:bookmarkStart w:id="51" w:name="_Toc17927"/>
      <w:bookmarkStart w:id="52" w:name="_Toc12495"/>
      <w:bookmarkStart w:id="53" w:name="_Toc6726"/>
      <w:r>
        <w:rPr>
          <w:rFonts w:hint="eastAsia" w:ascii="仿宋" w:hAnsi="仿宋" w:eastAsia="仿宋" w:cs="仿宋"/>
          <w:b/>
          <w:bCs/>
          <w:sz w:val="24"/>
          <w:szCs w:val="24"/>
        </w:rPr>
        <w:t>2、项目资金平衡情况</w:t>
      </w:r>
      <w:bookmarkEnd w:id="51"/>
      <w:bookmarkEnd w:id="52"/>
      <w:bookmarkEnd w:id="53"/>
    </w:p>
    <w:p w14:paraId="3BAD555E">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本项目建成后能形成稳定现金流，若项目在满足上述资金筹集计划、项目实施计划、资金使用计划及预期收益的假设前提下，债券期末累计资金结余</w:t>
      </w:r>
      <w:r>
        <w:rPr>
          <w:rFonts w:hint="eastAsia" w:ascii="仿宋" w:hAnsi="仿宋" w:eastAsia="仿宋" w:cs="仿宋"/>
          <w:sz w:val="24"/>
          <w:szCs w:val="24"/>
          <w:lang w:val="en-US" w:eastAsia="zh-CN"/>
        </w:rPr>
        <w:t>10730.03</w:t>
      </w:r>
      <w:r>
        <w:rPr>
          <w:rFonts w:hint="eastAsia" w:ascii="仿宋" w:hAnsi="仿宋" w:eastAsia="仿宋" w:cs="仿宋"/>
          <w:sz w:val="24"/>
          <w:szCs w:val="24"/>
        </w:rPr>
        <w:t>万元。用于资金平衡的净收益（息前净现金流）的金额为</w:t>
      </w:r>
      <w:r>
        <w:rPr>
          <w:rFonts w:hint="eastAsia" w:ascii="仿宋" w:hAnsi="仿宋" w:eastAsia="仿宋" w:cs="仿宋"/>
          <w:sz w:val="24"/>
          <w:szCs w:val="24"/>
          <w:lang w:val="en-US" w:eastAsia="zh-CN"/>
        </w:rPr>
        <w:t>61790.03</w:t>
      </w:r>
      <w:r>
        <w:rPr>
          <w:rFonts w:hint="eastAsia" w:ascii="仿宋" w:hAnsi="仿宋" w:eastAsia="仿宋" w:cs="仿宋"/>
          <w:sz w:val="24"/>
          <w:szCs w:val="24"/>
        </w:rPr>
        <w:t>万元，债券本息合计53400.00万元，偿债覆盖倍数为</w:t>
      </w:r>
      <w:r>
        <w:rPr>
          <w:rFonts w:hint="eastAsia" w:ascii="仿宋" w:hAnsi="仿宋" w:eastAsia="仿宋" w:cs="仿宋"/>
          <w:sz w:val="24"/>
          <w:szCs w:val="24"/>
          <w:lang w:val="en-US" w:eastAsia="zh-CN"/>
        </w:rPr>
        <w:t>1.16</w:t>
      </w:r>
      <w:r>
        <w:rPr>
          <w:rFonts w:hint="eastAsia" w:ascii="仿宋" w:hAnsi="仿宋" w:eastAsia="仿宋" w:cs="仿宋"/>
          <w:sz w:val="24"/>
          <w:szCs w:val="24"/>
        </w:rPr>
        <w:t>倍，项目不存在资金缺口，能够实现融资平衡。</w:t>
      </w:r>
    </w:p>
    <w:p w14:paraId="7DACB045">
      <w:pPr>
        <w:pStyle w:val="8"/>
        <w:spacing w:before="0" w:beforeLines="0" w:beforeAutospacing="0" w:after="0" w:afterLines="0" w:line="240" w:lineRule="exact"/>
        <w:ind w:firstLine="0" w:firstLineChars="0"/>
        <w:jc w:val="center"/>
        <w:rPr>
          <w:rFonts w:hint="eastAsia" w:ascii="Times New Roman" w:hAnsi="Times New Roman" w:eastAsia="仿宋" w:cs="Times New Roman"/>
          <w:b/>
          <w:bCs/>
          <w:sz w:val="18"/>
          <w:szCs w:val="18"/>
        </w:rPr>
      </w:pPr>
      <w:r>
        <w:rPr>
          <w:rFonts w:hint="eastAsia" w:ascii="Times New Roman" w:hAnsi="Times New Roman" w:eastAsia="仿宋" w:cs="Times New Roman"/>
          <w:b/>
          <w:bCs/>
          <w:sz w:val="18"/>
          <w:szCs w:val="18"/>
        </w:rPr>
        <w:t>项目资金平衡测算表</w:t>
      </w:r>
    </w:p>
    <w:p w14:paraId="549B0984">
      <w:pPr>
        <w:pStyle w:val="8"/>
        <w:spacing w:before="0" w:beforeLines="0" w:beforeAutospacing="0" w:after="0" w:afterLines="0" w:line="240" w:lineRule="exact"/>
        <w:ind w:firstLine="0" w:firstLineChars="0"/>
        <w:jc w:val="right"/>
        <w:rPr>
          <w:rFonts w:hint="eastAsia" w:ascii="Times New Roman" w:hAnsi="Times New Roman" w:eastAsia="仿宋" w:cs="Times New Roman"/>
          <w:b/>
          <w:bCs/>
          <w:sz w:val="18"/>
          <w:szCs w:val="18"/>
        </w:rPr>
      </w:pPr>
      <w:r>
        <w:rPr>
          <w:rFonts w:hint="eastAsia" w:ascii="Times New Roman" w:hAnsi="Times New Roman" w:eastAsia="仿宋" w:cs="Times New Roman"/>
          <w:b/>
          <w:bCs/>
          <w:sz w:val="18"/>
          <w:szCs w:val="18"/>
        </w:rPr>
        <w:t xml:space="preserve">单位：万元 </w:t>
      </w:r>
    </w:p>
    <w:tbl>
      <w:tblPr>
        <w:tblStyle w:val="9"/>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144"/>
        <w:gridCol w:w="868"/>
        <w:gridCol w:w="786"/>
        <w:gridCol w:w="786"/>
        <w:gridCol w:w="786"/>
        <w:gridCol w:w="786"/>
        <w:gridCol w:w="786"/>
        <w:gridCol w:w="786"/>
        <w:gridCol w:w="786"/>
        <w:gridCol w:w="786"/>
        <w:gridCol w:w="786"/>
        <w:gridCol w:w="786"/>
        <w:gridCol w:w="786"/>
        <w:gridCol w:w="786"/>
        <w:gridCol w:w="786"/>
        <w:gridCol w:w="786"/>
        <w:gridCol w:w="786"/>
        <w:gridCol w:w="786"/>
        <w:gridCol w:w="792"/>
      </w:tblGrid>
      <w:tr w14:paraId="1EE0C0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528" w:type="pct"/>
            <w:gridSpan w:val="2"/>
            <w:tcBorders>
              <w:bottom w:val="single" w:color="000000" w:sz="4" w:space="0"/>
              <w:right w:val="single" w:color="000000" w:sz="4" w:space="0"/>
            </w:tcBorders>
            <w:shd w:val="clear" w:color="auto" w:fill="FFFFFF"/>
            <w:noWrap/>
            <w:vAlign w:val="center"/>
          </w:tcPr>
          <w:p w14:paraId="75BA260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项目</w:t>
            </w:r>
          </w:p>
        </w:tc>
        <w:tc>
          <w:tcPr>
            <w:tcW w:w="272" w:type="pct"/>
            <w:tcBorders>
              <w:left w:val="single" w:color="000000" w:sz="4" w:space="0"/>
              <w:bottom w:val="single" w:color="000000" w:sz="4" w:space="0"/>
              <w:right w:val="single" w:color="000000" w:sz="4" w:space="0"/>
            </w:tcBorders>
            <w:shd w:val="clear" w:color="auto" w:fill="FFFFFF"/>
            <w:noWrap/>
            <w:vAlign w:val="center"/>
          </w:tcPr>
          <w:p w14:paraId="05B3F8E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合计</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64693BF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2023年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4C8A0DC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2024年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6861D99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2025年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22F7ACC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2026年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5F32345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2027年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13C6387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2028年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519CAEB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2029年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73EF03F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2030年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5249938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2031年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75E6AAE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2032年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5ADD918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2033年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600FE40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2034年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0E42598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2035年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74B25F6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2036年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4964FA6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2037年</w:t>
            </w:r>
          </w:p>
        </w:tc>
        <w:tc>
          <w:tcPr>
            <w:tcW w:w="246" w:type="pct"/>
            <w:tcBorders>
              <w:left w:val="single" w:color="000000" w:sz="4" w:space="0"/>
              <w:bottom w:val="single" w:color="000000" w:sz="4" w:space="0"/>
              <w:right w:val="single" w:color="000000" w:sz="4" w:space="0"/>
            </w:tcBorders>
            <w:shd w:val="clear" w:color="auto" w:fill="FFFFFF"/>
            <w:noWrap/>
            <w:vAlign w:val="center"/>
          </w:tcPr>
          <w:p w14:paraId="3FDFB17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2038年</w:t>
            </w:r>
          </w:p>
        </w:tc>
        <w:tc>
          <w:tcPr>
            <w:tcW w:w="248" w:type="pct"/>
            <w:tcBorders>
              <w:left w:val="single" w:color="000000" w:sz="4" w:space="0"/>
              <w:bottom w:val="single" w:color="000000" w:sz="4" w:space="0"/>
            </w:tcBorders>
            <w:shd w:val="clear" w:color="auto" w:fill="FFFFFF"/>
            <w:noWrap/>
            <w:vAlign w:val="center"/>
          </w:tcPr>
          <w:p w14:paraId="24D011A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2039年</w:t>
            </w:r>
          </w:p>
        </w:tc>
      </w:tr>
      <w:tr w14:paraId="085036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28" w:type="pct"/>
            <w:gridSpan w:val="2"/>
            <w:tcBorders>
              <w:top w:val="single" w:color="000000" w:sz="4" w:space="0"/>
              <w:bottom w:val="single" w:color="000000" w:sz="4" w:space="0"/>
              <w:right w:val="single" w:color="000000" w:sz="4" w:space="0"/>
            </w:tcBorders>
            <w:shd w:val="clear" w:color="auto" w:fill="FFFFFF"/>
            <w:noWrap/>
            <w:vAlign w:val="center"/>
          </w:tcPr>
          <w:p w14:paraId="577C2C3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资金来源</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BBAD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6FAB4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BDE71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C70A7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BF0DF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E55A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B7BF1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2F596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62E84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467DE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704AF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A2DD3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71471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7E98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9B4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460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7F10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3C0E391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42EEF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61B7C25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5AF0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项目资本金</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AFD5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9164.58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BC23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EF6B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81AD7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CA62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2864.58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DE69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CB45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B489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25B5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AFC59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6B20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28D2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6487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FF7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0AA8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3FD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083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4A70734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733DBA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2306AB2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5B81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专项债券资金</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5DF7E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B723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F4CC4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167A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042F8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4F59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6EB92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41CA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4701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D3017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F534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69E5D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6E9D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A6D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863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EAAF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3165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19B41F9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7AD644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7F32574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9994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企业息前净现金流量</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C92B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61790.03</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F4C6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2263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D2D0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080EA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47D5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976.64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D8A0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1163.69</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D66A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1377.27</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9A88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1558.34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4A2E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1735.06</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4ADC9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1937.84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5CA5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1973.88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C2B1B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2010.55</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33F83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2047.87</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C20D4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2085.86</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A0A6B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2124.51</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19AE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2163.85</w:t>
            </w:r>
          </w:p>
        </w:tc>
        <w:tc>
          <w:tcPr>
            <w:tcW w:w="248" w:type="pct"/>
            <w:tcBorders>
              <w:top w:val="single" w:color="000000" w:sz="4" w:space="0"/>
              <w:left w:val="single" w:color="000000" w:sz="4" w:space="0"/>
              <w:bottom w:val="single" w:color="000000" w:sz="4" w:space="0"/>
            </w:tcBorders>
            <w:shd w:val="clear" w:color="auto" w:fill="FFFFFF"/>
            <w:noWrap/>
            <w:vAlign w:val="center"/>
          </w:tcPr>
          <w:p w14:paraId="14F2DC4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2203.87</w:t>
            </w:r>
          </w:p>
        </w:tc>
      </w:tr>
      <w:tr w14:paraId="1069B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28" w:type="pct"/>
            <w:gridSpan w:val="2"/>
            <w:tcBorders>
              <w:top w:val="single" w:color="000000" w:sz="4" w:space="0"/>
              <w:bottom w:val="single" w:color="000000" w:sz="4" w:space="0"/>
              <w:right w:val="single" w:color="000000" w:sz="4" w:space="0"/>
            </w:tcBorders>
            <w:shd w:val="clear" w:color="auto" w:fill="FFFFFF"/>
            <w:noWrap/>
            <w:vAlign w:val="center"/>
          </w:tcPr>
          <w:p w14:paraId="7EEA30C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资金来源小计</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84C7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100954.61</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28D6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16000.00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E472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6E39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D10B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17864.58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9FDE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976.64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FF204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1163.69</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AC2BF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1377.27</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C6298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1558.34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5865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1735.06</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B0F0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1937.84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4AC6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1973.88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CE28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2010.55</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36D5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2047.87</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7591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2085.86</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6363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2124.51</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3C964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2163.85</w:t>
            </w:r>
          </w:p>
        </w:tc>
        <w:tc>
          <w:tcPr>
            <w:tcW w:w="248" w:type="pct"/>
            <w:tcBorders>
              <w:top w:val="single" w:color="000000" w:sz="4" w:space="0"/>
              <w:left w:val="single" w:color="000000" w:sz="4" w:space="0"/>
              <w:bottom w:val="single" w:color="000000" w:sz="4" w:space="0"/>
            </w:tcBorders>
            <w:shd w:val="clear" w:color="auto" w:fill="FFFFFF"/>
            <w:noWrap/>
            <w:vAlign w:val="center"/>
          </w:tcPr>
          <w:p w14:paraId="0E52DBD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2203.87</w:t>
            </w:r>
          </w:p>
        </w:tc>
      </w:tr>
      <w:tr w14:paraId="0801F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28" w:type="pct"/>
            <w:gridSpan w:val="2"/>
            <w:tcBorders>
              <w:top w:val="single" w:color="000000" w:sz="4" w:space="0"/>
              <w:bottom w:val="single" w:color="000000" w:sz="4" w:space="0"/>
              <w:right w:val="single" w:color="000000" w:sz="4" w:space="0"/>
            </w:tcBorders>
            <w:shd w:val="clear" w:color="auto" w:fill="FFFFFF"/>
            <w:noWrap/>
            <w:vAlign w:val="center"/>
          </w:tcPr>
          <w:p w14:paraId="6AE5709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资金占用</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1EE7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30E8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1742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21CB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65A6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EFA3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93A4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DF4B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8F70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EA3C3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1DA27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E118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27554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AE71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61F3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7D94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BAA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69D9D27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30CFBB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772420B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DC7C9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项目建设投资</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7E51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36794.58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D999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15517.00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2B1C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1832.00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1433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2532.00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B035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16913.58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B982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296EB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8D40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580C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E1B4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2B30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CD26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C105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0C9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8EB3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489D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9F4C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1482BB6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6D2FC1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695BF3A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68B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发行费</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BA87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BF5F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7E1E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F1BE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7079A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19DB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2B49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592F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8AA3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F066C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1C26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50BC2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46DAC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E49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4FB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A9A8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8FEB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6291FBD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52C1E2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2EEE63E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1971C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偿还专项债本息</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A0BA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53400.00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D8D6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52DB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278B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562C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B0058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CBFD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A75B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4204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50F3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E72A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34E5F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7FFF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52EF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6E33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DC76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6DCAA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8" w:type="pct"/>
            <w:tcBorders>
              <w:top w:val="single" w:color="000000" w:sz="4" w:space="0"/>
              <w:left w:val="single" w:color="000000" w:sz="4" w:space="0"/>
              <w:bottom w:val="single" w:color="000000" w:sz="4" w:space="0"/>
            </w:tcBorders>
            <w:shd w:val="clear" w:color="auto" w:fill="FFFFFF"/>
            <w:noWrap/>
            <w:vAlign w:val="center"/>
          </w:tcPr>
          <w:p w14:paraId="41AF096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r>
      <w:tr w14:paraId="6606B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676DEB2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3.1</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C902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归还本金</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FD3D8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00F55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D94E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8223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62DF2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1AE9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3BA4C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831A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0EDD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225F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337C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1C122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0C22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84F2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606F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9B3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468D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48" w:type="pct"/>
            <w:tcBorders>
              <w:top w:val="single" w:color="000000" w:sz="4" w:space="0"/>
              <w:left w:val="single" w:color="000000" w:sz="4" w:space="0"/>
              <w:bottom w:val="single" w:color="000000" w:sz="4" w:space="0"/>
            </w:tcBorders>
            <w:shd w:val="clear" w:color="auto" w:fill="auto"/>
            <w:noWrap/>
            <w:vAlign w:val="center"/>
          </w:tcPr>
          <w:p w14:paraId="0588B6D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35819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68" w:type="pct"/>
            <w:tcBorders>
              <w:top w:val="single" w:color="000000" w:sz="4" w:space="0"/>
              <w:bottom w:val="single" w:color="000000" w:sz="4" w:space="0"/>
              <w:right w:val="single" w:color="000000" w:sz="4" w:space="0"/>
            </w:tcBorders>
            <w:shd w:val="clear" w:color="auto" w:fill="FFFFFF"/>
            <w:noWrap/>
            <w:vAlign w:val="center"/>
          </w:tcPr>
          <w:p w14:paraId="4FB6C79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3.2</w:t>
            </w:r>
          </w:p>
        </w:tc>
        <w:tc>
          <w:tcPr>
            <w:tcW w:w="35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66C2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归还利息</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61FC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23400.00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57BB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3F38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9695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E89D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2F71D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D538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1486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F09E1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100A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7BB6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EEF5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AD1E8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AB2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12FF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D9D41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3623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8" w:type="pct"/>
            <w:tcBorders>
              <w:top w:val="single" w:color="000000" w:sz="4" w:space="0"/>
              <w:left w:val="single" w:color="000000" w:sz="4" w:space="0"/>
              <w:bottom w:val="single" w:color="000000" w:sz="4" w:space="0"/>
            </w:tcBorders>
            <w:shd w:val="clear" w:color="auto" w:fill="FFFFFF"/>
            <w:noWrap/>
            <w:vAlign w:val="center"/>
          </w:tcPr>
          <w:p w14:paraId="7B52977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r>
      <w:tr w14:paraId="48D0F4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528" w:type="pct"/>
            <w:gridSpan w:val="2"/>
            <w:tcBorders>
              <w:top w:val="single" w:color="000000" w:sz="4" w:space="0"/>
              <w:bottom w:val="single" w:color="000000" w:sz="4" w:space="0"/>
              <w:right w:val="single" w:color="000000" w:sz="4" w:space="0"/>
            </w:tcBorders>
            <w:shd w:val="clear" w:color="auto" w:fill="FFFFFF"/>
            <w:noWrap/>
            <w:vAlign w:val="center"/>
          </w:tcPr>
          <w:p w14:paraId="440EA32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资金占用小计</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4569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90224.58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276CD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16000.00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433FD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B62B5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2D11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17864.58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54154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29B1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6EBFB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708DD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C00C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E7771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2EFF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C35C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AB31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B0A5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131E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8400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48" w:type="pct"/>
            <w:tcBorders>
              <w:top w:val="single" w:color="000000" w:sz="4" w:space="0"/>
              <w:left w:val="single" w:color="000000" w:sz="4" w:space="0"/>
              <w:bottom w:val="single" w:color="000000" w:sz="4" w:space="0"/>
            </w:tcBorders>
            <w:shd w:val="clear" w:color="auto" w:fill="FFFFFF"/>
            <w:noWrap/>
            <w:vAlign w:val="center"/>
          </w:tcPr>
          <w:p w14:paraId="0FD6671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r>
      <w:tr w14:paraId="59468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28" w:type="pct"/>
            <w:gridSpan w:val="2"/>
            <w:tcBorders>
              <w:top w:val="single" w:color="000000" w:sz="4" w:space="0"/>
              <w:bottom w:val="single" w:color="000000" w:sz="4" w:space="0"/>
              <w:right w:val="single" w:color="000000" w:sz="4" w:space="0"/>
            </w:tcBorders>
            <w:shd w:val="clear" w:color="auto" w:fill="FFFFFF"/>
            <w:noWrap/>
            <w:vAlign w:val="center"/>
          </w:tcPr>
          <w:p w14:paraId="715657D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当年资金结余</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0139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10730.03</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13B75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84811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86A1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E8CD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8A3B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40.64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6599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227.69</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F064F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441.27</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4363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622.34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33C1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799.06</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D391F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1001.84</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78E4B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1037.88</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FFC1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1074.55</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4565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1111.87</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C783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1149.86</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EC88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1188.51</w:t>
            </w:r>
          </w:p>
        </w:tc>
        <w:tc>
          <w:tcPr>
            <w:tcW w:w="24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45BD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1227.85</w:t>
            </w:r>
          </w:p>
        </w:tc>
        <w:tc>
          <w:tcPr>
            <w:tcW w:w="248" w:type="pct"/>
            <w:tcBorders>
              <w:top w:val="single" w:color="000000" w:sz="4" w:space="0"/>
              <w:left w:val="single" w:color="000000" w:sz="4" w:space="0"/>
              <w:bottom w:val="single" w:color="000000" w:sz="4" w:space="0"/>
            </w:tcBorders>
            <w:shd w:val="clear" w:color="auto" w:fill="FFFFFF"/>
            <w:noWrap/>
            <w:vAlign w:val="center"/>
          </w:tcPr>
          <w:p w14:paraId="686BF17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1267.87</w:t>
            </w:r>
          </w:p>
        </w:tc>
      </w:tr>
      <w:tr w14:paraId="3D2EBE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28" w:type="pct"/>
            <w:gridSpan w:val="2"/>
            <w:tcBorders>
              <w:top w:val="single" w:color="000000" w:sz="4" w:space="0"/>
              <w:bottom w:val="single" w:color="000000" w:sz="4" w:space="0"/>
              <w:right w:val="single" w:color="000000" w:sz="4" w:space="0"/>
            </w:tcBorders>
            <w:shd w:val="clear" w:color="auto" w:fill="FFFFFF"/>
            <w:noWrap/>
            <w:vAlign w:val="center"/>
          </w:tcPr>
          <w:p w14:paraId="42C80B2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期末累计资金结余</w:t>
            </w:r>
          </w:p>
        </w:tc>
        <w:tc>
          <w:tcPr>
            <w:tcW w:w="272"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3AF141F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79A8A7D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6DFC57A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1A5CCAD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667FF61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640AD9F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40.64</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542FF91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268.33</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14DF4D9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709.60</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48D3B8E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1331.94</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6CCE52D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2130.99</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4EFC4B6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3132.84</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405DCFD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4170.71</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4B672F0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5245.26</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63A4D64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6357.14</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081137E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7507.00</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3411F8B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8695.51</w:t>
            </w:r>
          </w:p>
        </w:tc>
        <w:tc>
          <w:tcPr>
            <w:tcW w:w="246" w:type="pct"/>
            <w:tcBorders>
              <w:top w:val="single" w:color="000000" w:sz="4" w:space="0"/>
              <w:left w:val="single" w:color="000000" w:sz="4" w:space="0"/>
              <w:bottom w:val="single" w:color="auto" w:sz="4" w:space="0"/>
              <w:right w:val="single" w:color="000000" w:sz="4" w:space="0"/>
            </w:tcBorders>
            <w:shd w:val="clear" w:color="auto" w:fill="FFFFFF"/>
            <w:noWrap/>
            <w:vAlign w:val="center"/>
          </w:tcPr>
          <w:p w14:paraId="3F50C60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9923.35</w:t>
            </w:r>
          </w:p>
        </w:tc>
        <w:tc>
          <w:tcPr>
            <w:tcW w:w="248" w:type="pct"/>
            <w:tcBorders>
              <w:top w:val="single" w:color="000000" w:sz="4" w:space="0"/>
              <w:left w:val="single" w:color="000000" w:sz="4" w:space="0"/>
              <w:bottom w:val="single" w:color="auto" w:sz="4" w:space="0"/>
            </w:tcBorders>
            <w:shd w:val="clear" w:color="auto" w:fill="FFFFFF"/>
            <w:noWrap/>
            <w:vAlign w:val="center"/>
          </w:tcPr>
          <w:p w14:paraId="7779880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11191.22</w:t>
            </w:r>
          </w:p>
        </w:tc>
      </w:tr>
      <w:tr w14:paraId="48E0D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28" w:type="pct"/>
            <w:gridSpan w:val="2"/>
            <w:tcBorders>
              <w:top w:val="single" w:color="000000" w:sz="4" w:space="0"/>
              <w:right w:val="single" w:color="auto" w:sz="4" w:space="0"/>
            </w:tcBorders>
            <w:shd w:val="clear" w:color="auto" w:fill="FFFFFF"/>
            <w:noWrap/>
            <w:vAlign w:val="center"/>
          </w:tcPr>
          <w:p w14:paraId="7EF8844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专项债券收益覆盖倍数</w:t>
            </w:r>
          </w:p>
        </w:tc>
        <w:tc>
          <w:tcPr>
            <w:tcW w:w="4471" w:type="pct"/>
            <w:gridSpan w:val="18"/>
            <w:tcBorders>
              <w:top w:val="single" w:color="auto" w:sz="4" w:space="0"/>
              <w:left w:val="single" w:color="auto" w:sz="4" w:space="0"/>
            </w:tcBorders>
            <w:shd w:val="clear" w:color="auto" w:fill="FFFFFF"/>
            <w:noWrap/>
            <w:vAlign w:val="center"/>
          </w:tcPr>
          <w:p w14:paraId="5B08CE1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1.16</w:t>
            </w:r>
          </w:p>
        </w:tc>
      </w:tr>
    </w:tbl>
    <w:p w14:paraId="273DE174">
      <w:pPr>
        <w:spacing w:before="0" w:beforeLines="0" w:after="0" w:afterLines="0" w:line="240" w:lineRule="auto"/>
        <w:ind w:firstLine="480" w:firstLineChars="200"/>
        <w:jc w:val="both"/>
        <w:rPr>
          <w:rFonts w:hint="eastAsia" w:ascii="仿宋" w:hAnsi="仿宋" w:eastAsia="仿宋" w:cs="仿宋"/>
          <w:sz w:val="24"/>
          <w:szCs w:val="24"/>
          <w:lang w:val="en-US" w:eastAsia="zh-CN"/>
        </w:rPr>
        <w:sectPr>
          <w:pgSz w:w="16838" w:h="11906" w:orient="landscape"/>
          <w:pgMar w:top="567" w:right="567" w:bottom="567" w:left="567" w:header="851" w:footer="992" w:gutter="0"/>
          <w:pgNumType w:fmt="decimal"/>
          <w:cols w:space="0" w:num="1"/>
          <w:rtlGutter w:val="0"/>
          <w:docGrid w:type="lines" w:linePitch="332" w:charSpace="0"/>
        </w:sectPr>
      </w:pPr>
    </w:p>
    <w:p w14:paraId="3DCEC190">
      <w:pPr>
        <w:pStyle w:val="8"/>
        <w:spacing w:before="0" w:beforeLines="0" w:beforeAutospacing="0" w:after="0" w:afterLines="0" w:line="240" w:lineRule="exact"/>
        <w:ind w:firstLine="0" w:firstLineChars="0"/>
        <w:jc w:val="center"/>
        <w:rPr>
          <w:rFonts w:hint="eastAsia" w:eastAsia="仿宋" w:cs="Times New Roman"/>
          <w:b/>
          <w:bCs/>
          <w:sz w:val="18"/>
          <w:szCs w:val="18"/>
          <w:lang w:eastAsia="zh-CN"/>
        </w:rPr>
      </w:pPr>
      <w:r>
        <w:rPr>
          <w:rFonts w:eastAsia="仿宋" w:cs="Times New Roman"/>
          <w:b/>
          <w:bCs/>
          <w:sz w:val="18"/>
          <w:szCs w:val="18"/>
        </w:rPr>
        <w:t>项目资金平衡测算表</w:t>
      </w:r>
      <w:r>
        <w:rPr>
          <w:rFonts w:hint="eastAsia" w:eastAsia="仿宋" w:cs="Times New Roman"/>
          <w:b/>
          <w:bCs/>
          <w:sz w:val="18"/>
          <w:szCs w:val="18"/>
          <w:lang w:eastAsia="zh-CN"/>
        </w:rPr>
        <w:t>（</w:t>
      </w:r>
      <w:r>
        <w:rPr>
          <w:rFonts w:hint="eastAsia" w:eastAsia="仿宋" w:cs="Times New Roman"/>
          <w:b/>
          <w:bCs/>
          <w:sz w:val="18"/>
          <w:szCs w:val="18"/>
          <w:lang w:val="en-US" w:eastAsia="zh-CN"/>
        </w:rPr>
        <w:t>续表</w:t>
      </w:r>
      <w:r>
        <w:rPr>
          <w:rFonts w:hint="eastAsia" w:eastAsia="仿宋" w:cs="Times New Roman"/>
          <w:b/>
          <w:bCs/>
          <w:sz w:val="18"/>
          <w:szCs w:val="18"/>
          <w:lang w:eastAsia="zh-CN"/>
        </w:rPr>
        <w:t>）</w:t>
      </w:r>
    </w:p>
    <w:p w14:paraId="108FF1AB">
      <w:pPr>
        <w:pStyle w:val="8"/>
        <w:wordWrap w:val="0"/>
        <w:spacing w:before="0" w:beforeLines="0" w:beforeAutospacing="0" w:after="0" w:afterLines="0" w:line="240" w:lineRule="exact"/>
        <w:ind w:firstLine="0" w:firstLineChars="0"/>
        <w:jc w:val="right"/>
        <w:outlineLvl w:val="9"/>
        <w:rPr>
          <w:rFonts w:hint="eastAsia" w:eastAsia="仿宋" w:cs="Times New Roman"/>
          <w:b/>
          <w:bCs/>
          <w:sz w:val="18"/>
          <w:szCs w:val="18"/>
        </w:rPr>
      </w:pPr>
      <w:bookmarkStart w:id="54" w:name="_Toc29912"/>
      <w:bookmarkStart w:id="55" w:name="_Toc522"/>
      <w:r>
        <w:rPr>
          <w:rFonts w:hint="eastAsia" w:eastAsia="仿宋" w:cs="Times New Roman"/>
          <w:b/>
          <w:bCs/>
          <w:sz w:val="18"/>
          <w:szCs w:val="18"/>
        </w:rPr>
        <w:t>单位：万元</w:t>
      </w:r>
      <w:bookmarkEnd w:id="54"/>
      <w:bookmarkEnd w:id="55"/>
      <w:r>
        <w:rPr>
          <w:rFonts w:hint="eastAsia" w:eastAsia="仿宋" w:cs="Times New Roman"/>
          <w:b/>
          <w:bCs/>
          <w:sz w:val="18"/>
          <w:szCs w:val="18"/>
        </w:rPr>
        <w:t xml:space="preserve"> </w:t>
      </w:r>
    </w:p>
    <w:tbl>
      <w:tblPr>
        <w:tblStyle w:val="9"/>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5"/>
        <w:gridCol w:w="1176"/>
        <w:gridCol w:w="1015"/>
        <w:gridCol w:w="823"/>
        <w:gridCol w:w="823"/>
        <w:gridCol w:w="823"/>
        <w:gridCol w:w="823"/>
        <w:gridCol w:w="823"/>
        <w:gridCol w:w="823"/>
        <w:gridCol w:w="823"/>
        <w:gridCol w:w="823"/>
        <w:gridCol w:w="823"/>
        <w:gridCol w:w="823"/>
        <w:gridCol w:w="823"/>
        <w:gridCol w:w="823"/>
        <w:gridCol w:w="823"/>
        <w:gridCol w:w="823"/>
        <w:gridCol w:w="823"/>
        <w:gridCol w:w="835"/>
      </w:tblGrid>
      <w:tr w14:paraId="53CAFA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43" w:type="pct"/>
            <w:gridSpan w:val="2"/>
            <w:tcBorders>
              <w:bottom w:val="single" w:color="000000" w:sz="4" w:space="0"/>
              <w:right w:val="single" w:color="000000" w:sz="4" w:space="0"/>
            </w:tcBorders>
            <w:shd w:val="clear" w:color="auto" w:fill="FFFFFF"/>
            <w:noWrap/>
            <w:vAlign w:val="center"/>
          </w:tcPr>
          <w:p w14:paraId="6A0DACE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项目</w:t>
            </w:r>
          </w:p>
        </w:tc>
        <w:tc>
          <w:tcPr>
            <w:tcW w:w="318" w:type="pct"/>
            <w:tcBorders>
              <w:left w:val="single" w:color="000000" w:sz="4" w:space="0"/>
              <w:bottom w:val="single" w:color="000000" w:sz="4" w:space="0"/>
              <w:right w:val="single" w:color="000000" w:sz="4" w:space="0"/>
            </w:tcBorders>
            <w:shd w:val="clear" w:color="auto" w:fill="FFFFFF"/>
            <w:noWrap/>
            <w:vAlign w:val="center"/>
          </w:tcPr>
          <w:p w14:paraId="34AD186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合计</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6AD146E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2040年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321B903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2041年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4A466C0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2042年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79F8AF5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2043年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258F3D1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2044年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2DB65AC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2045年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7612A7D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2046年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2B20726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2047年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518F39F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2048年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31CC5D6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2049年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5636903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2050年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08321D2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2051年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34D945A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2052年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0667ABC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2053年</w:t>
            </w:r>
          </w:p>
        </w:tc>
        <w:tc>
          <w:tcPr>
            <w:tcW w:w="258" w:type="pct"/>
            <w:tcBorders>
              <w:left w:val="single" w:color="000000" w:sz="4" w:space="0"/>
              <w:bottom w:val="single" w:color="000000" w:sz="4" w:space="0"/>
              <w:right w:val="single" w:color="000000" w:sz="4" w:space="0"/>
            </w:tcBorders>
            <w:shd w:val="clear" w:color="auto" w:fill="FFFFFF"/>
            <w:noWrap/>
            <w:vAlign w:val="center"/>
          </w:tcPr>
          <w:p w14:paraId="4A8ECA2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2054年</w:t>
            </w:r>
          </w:p>
        </w:tc>
        <w:tc>
          <w:tcPr>
            <w:tcW w:w="262" w:type="pct"/>
            <w:tcBorders>
              <w:left w:val="single" w:color="000000" w:sz="4" w:space="0"/>
              <w:bottom w:val="single" w:color="000000" w:sz="4" w:space="0"/>
            </w:tcBorders>
            <w:shd w:val="clear" w:color="auto" w:fill="FFFFFF"/>
            <w:noWrap/>
            <w:vAlign w:val="center"/>
          </w:tcPr>
          <w:p w14:paraId="1107E83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2055年</w:t>
            </w:r>
          </w:p>
        </w:tc>
      </w:tr>
      <w:tr w14:paraId="20258D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543" w:type="pct"/>
            <w:gridSpan w:val="2"/>
            <w:tcBorders>
              <w:top w:val="single" w:color="000000" w:sz="4" w:space="0"/>
              <w:bottom w:val="single" w:color="000000" w:sz="4" w:space="0"/>
              <w:right w:val="single" w:color="000000" w:sz="4" w:space="0"/>
            </w:tcBorders>
            <w:shd w:val="clear" w:color="auto" w:fill="FFFFFF"/>
            <w:noWrap/>
            <w:vAlign w:val="center"/>
          </w:tcPr>
          <w:p w14:paraId="1D2BC1A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资金来源</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C985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FCA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D624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BC2E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CB6D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6065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7D8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B84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61E0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E32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A421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C55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CB20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D911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67A2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0A7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2EAA866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43F047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00DECE3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ED6D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项目资本金</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8B94C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9164.58</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93CE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19E5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283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07E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737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5D65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3994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BF7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C7A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F92C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1E5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4AF4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E8D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9B6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955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7C1C3FC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52E444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77C2BEA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72A0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专项债券资金</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5B88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B2B3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F08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10FA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7E4C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FC5F">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C9A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15C4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343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4DA2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A25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499B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B00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FC17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414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30B5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57418FD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1C9DAE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50C191C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DE8E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企业息前净现金流量</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809D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61790.03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422A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2243.82</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17B8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2274.91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7442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2306.53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3674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2221.71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9451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2254.45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DCF2F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2287.76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0680E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2321.65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B3CC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2356.13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BFC4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2391.21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AB5E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2426.89</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1DF2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2463.18</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A6DAF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2500.10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C93E0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2537.66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BDAF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2575.86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BFE7F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2614.71</w:t>
            </w:r>
          </w:p>
        </w:tc>
        <w:tc>
          <w:tcPr>
            <w:tcW w:w="262" w:type="pct"/>
            <w:tcBorders>
              <w:top w:val="single" w:color="000000" w:sz="4" w:space="0"/>
              <w:left w:val="single" w:color="000000" w:sz="4" w:space="0"/>
              <w:bottom w:val="single" w:color="000000" w:sz="4" w:space="0"/>
            </w:tcBorders>
            <w:shd w:val="clear" w:color="auto" w:fill="FFFFFF"/>
            <w:noWrap/>
            <w:vAlign w:val="center"/>
          </w:tcPr>
          <w:p w14:paraId="4BBAE03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2654.22</w:t>
            </w:r>
          </w:p>
        </w:tc>
      </w:tr>
      <w:tr w14:paraId="425665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43" w:type="pct"/>
            <w:gridSpan w:val="2"/>
            <w:tcBorders>
              <w:top w:val="single" w:color="000000" w:sz="4" w:space="0"/>
              <w:bottom w:val="single" w:color="000000" w:sz="4" w:space="0"/>
              <w:right w:val="single" w:color="000000" w:sz="4" w:space="0"/>
            </w:tcBorders>
            <w:shd w:val="clear" w:color="auto" w:fill="FFFFFF"/>
            <w:noWrap/>
            <w:vAlign w:val="center"/>
          </w:tcPr>
          <w:p w14:paraId="635F0CE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资金来源小计</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EDCE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100954.61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6FB0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2243.82</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FAEF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2274.91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4188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2306.53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C38C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2221.71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150D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2254.45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C79B4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2287.76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8ADA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2321.65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C1CF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2356.13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3C51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2391.21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F169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2426.89</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C2CC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2463.18</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7AC3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2500.10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E713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2537.66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0A1F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2575.86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763B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2614.71</w:t>
            </w:r>
          </w:p>
        </w:tc>
        <w:tc>
          <w:tcPr>
            <w:tcW w:w="262" w:type="pct"/>
            <w:tcBorders>
              <w:top w:val="single" w:color="000000" w:sz="4" w:space="0"/>
              <w:left w:val="single" w:color="000000" w:sz="4" w:space="0"/>
              <w:bottom w:val="single" w:color="000000" w:sz="4" w:space="0"/>
            </w:tcBorders>
            <w:shd w:val="clear" w:color="auto" w:fill="FFFFFF"/>
            <w:noWrap/>
            <w:vAlign w:val="center"/>
          </w:tcPr>
          <w:p w14:paraId="4693BD6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2654.22</w:t>
            </w:r>
          </w:p>
        </w:tc>
      </w:tr>
      <w:tr w14:paraId="1D4469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543" w:type="pct"/>
            <w:gridSpan w:val="2"/>
            <w:tcBorders>
              <w:top w:val="single" w:color="000000" w:sz="4" w:space="0"/>
              <w:bottom w:val="single" w:color="000000" w:sz="4" w:space="0"/>
              <w:right w:val="single" w:color="000000" w:sz="4" w:space="0"/>
            </w:tcBorders>
            <w:shd w:val="clear" w:color="auto" w:fill="FFFFFF"/>
            <w:noWrap/>
            <w:vAlign w:val="center"/>
          </w:tcPr>
          <w:p w14:paraId="007A7D0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资金占用</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5D3A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0.00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EDF8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FD40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CA29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4604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EBEF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6ED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A06D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7EA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7D18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4E2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85DD">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6F6A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960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937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12D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3FCE911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609287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4591178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w:t>
            </w:r>
          </w:p>
        </w:tc>
        <w:tc>
          <w:tcPr>
            <w:tcW w:w="36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CF931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项目建设投资</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05AD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36794.58</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738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249B">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230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624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E50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C75D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4BC4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D2E1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6B2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8E5C0">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207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38D2C">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CCCE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AC0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414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23AB6A9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6F7413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3D3023F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8EEF7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发行费</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AF722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A2B8">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FBCE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598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1E5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1DAF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C02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A85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CA55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0C06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A66C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C19D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03F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6B8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55CB2">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E02C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7E63EF2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r>
      <w:tr w14:paraId="2DE948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26805BB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8240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偿还专项债本息</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B320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53400.00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7ACF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9AB1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DCF3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DCF4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B7CD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67261">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3F87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B8E6E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87F8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D489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7091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1485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12C7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FB1A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58EA6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62" w:type="pct"/>
            <w:tcBorders>
              <w:top w:val="single" w:color="000000" w:sz="4" w:space="0"/>
              <w:left w:val="single" w:color="000000" w:sz="4" w:space="0"/>
              <w:bottom w:val="single" w:color="000000" w:sz="4" w:space="0"/>
            </w:tcBorders>
            <w:shd w:val="clear" w:color="auto" w:fill="FFFFFF"/>
            <w:noWrap/>
            <w:vAlign w:val="center"/>
          </w:tcPr>
          <w:p w14:paraId="2D3C1FC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15468.00</w:t>
            </w:r>
          </w:p>
        </w:tc>
      </w:tr>
      <w:tr w14:paraId="17132E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533A896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3.1</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EFE13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归还本金</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3AB8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30000.00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88AC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7C7B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8FA1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right"/>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15000</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D9CB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D55A">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B393">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90D1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21B6">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5BBC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980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1075">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D4D49">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E51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4211">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D2B4">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62" w:type="pct"/>
            <w:tcBorders>
              <w:top w:val="single" w:color="000000" w:sz="4" w:space="0"/>
              <w:left w:val="single" w:color="000000" w:sz="4" w:space="0"/>
              <w:bottom w:val="single" w:color="000000" w:sz="4" w:space="0"/>
            </w:tcBorders>
            <w:shd w:val="clear" w:color="auto" w:fill="auto"/>
            <w:noWrap/>
            <w:vAlign w:val="center"/>
          </w:tcPr>
          <w:p w14:paraId="0185EDA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15000</w:t>
            </w:r>
          </w:p>
        </w:tc>
      </w:tr>
      <w:tr w14:paraId="14E53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exact"/>
        </w:trPr>
        <w:tc>
          <w:tcPr>
            <w:tcW w:w="174" w:type="pct"/>
            <w:tcBorders>
              <w:top w:val="single" w:color="000000" w:sz="4" w:space="0"/>
              <w:bottom w:val="single" w:color="000000" w:sz="4" w:space="0"/>
              <w:right w:val="single" w:color="000000" w:sz="4" w:space="0"/>
            </w:tcBorders>
            <w:shd w:val="clear" w:color="auto" w:fill="FFFFFF"/>
            <w:noWrap/>
            <w:vAlign w:val="center"/>
          </w:tcPr>
          <w:p w14:paraId="0E92FCF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3.2</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1161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归还利息</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2FC5C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23400.00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2A28C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45D4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D4768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9097C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43FB6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8CEB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D930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2C4B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F333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E1375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427D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07DB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5025B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47AFC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A7F8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62" w:type="pct"/>
            <w:tcBorders>
              <w:top w:val="single" w:color="000000" w:sz="4" w:space="0"/>
              <w:left w:val="single" w:color="000000" w:sz="4" w:space="0"/>
              <w:bottom w:val="single" w:color="000000" w:sz="4" w:space="0"/>
            </w:tcBorders>
            <w:shd w:val="clear" w:color="auto" w:fill="FFFFFF"/>
            <w:noWrap/>
            <w:vAlign w:val="center"/>
          </w:tcPr>
          <w:p w14:paraId="3E2C6BD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r>
      <w:tr w14:paraId="5F38A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43" w:type="pct"/>
            <w:gridSpan w:val="2"/>
            <w:tcBorders>
              <w:top w:val="single" w:color="000000" w:sz="4" w:space="0"/>
              <w:bottom w:val="single" w:color="000000" w:sz="4" w:space="0"/>
              <w:right w:val="single" w:color="000000" w:sz="4" w:space="0"/>
            </w:tcBorders>
            <w:shd w:val="clear" w:color="auto" w:fill="FFFFFF"/>
            <w:noWrap/>
            <w:vAlign w:val="center"/>
          </w:tcPr>
          <w:p w14:paraId="6BBEFBE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资金占用小计</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CE0B4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90224.58</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0BED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0D812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B1E6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15936.00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95763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8019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2F56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78BC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939C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03D2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8C818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1441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BE94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B7CC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C4F95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315E5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468.00</w:t>
            </w:r>
          </w:p>
        </w:tc>
        <w:tc>
          <w:tcPr>
            <w:tcW w:w="262" w:type="pct"/>
            <w:tcBorders>
              <w:top w:val="single" w:color="000000" w:sz="4" w:space="0"/>
              <w:left w:val="single" w:color="000000" w:sz="4" w:space="0"/>
              <w:bottom w:val="single" w:color="000000" w:sz="4" w:space="0"/>
            </w:tcBorders>
            <w:shd w:val="clear" w:color="auto" w:fill="FFFFFF"/>
            <w:noWrap/>
            <w:vAlign w:val="center"/>
          </w:tcPr>
          <w:p w14:paraId="6F9DD76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15468.00</w:t>
            </w:r>
          </w:p>
        </w:tc>
      </w:tr>
      <w:tr w14:paraId="1F5F1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43" w:type="pct"/>
            <w:gridSpan w:val="2"/>
            <w:tcBorders>
              <w:top w:val="single" w:color="000000" w:sz="4" w:space="0"/>
              <w:bottom w:val="single" w:color="000000" w:sz="4" w:space="0"/>
              <w:right w:val="single" w:color="000000" w:sz="4" w:space="0"/>
            </w:tcBorders>
            <w:shd w:val="clear" w:color="auto" w:fill="FFFFFF"/>
            <w:noWrap/>
            <w:vAlign w:val="center"/>
          </w:tcPr>
          <w:p w14:paraId="2F19F44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当年资金结余</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96E8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10730.03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7D26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1307.82</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00D6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1338.91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CA1F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-13629.47</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780CB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1753.71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BD974">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1786.45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C32C5">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1819.76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84A7B">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1853.65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B85D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1888.13</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3CA46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1923.21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258E7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1958.89</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6519BE">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1995.18</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61F8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2032.10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E08D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2069.66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C2D79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2107.86</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EB72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2146.71</w:t>
            </w:r>
          </w:p>
        </w:tc>
        <w:tc>
          <w:tcPr>
            <w:tcW w:w="262" w:type="pct"/>
            <w:tcBorders>
              <w:top w:val="single" w:color="000000" w:sz="4" w:space="0"/>
              <w:left w:val="single" w:color="000000" w:sz="4" w:space="0"/>
              <w:bottom w:val="single" w:color="000000" w:sz="4" w:space="0"/>
            </w:tcBorders>
            <w:shd w:val="clear" w:color="auto" w:fill="FFFFFF"/>
            <w:noWrap/>
            <w:vAlign w:val="center"/>
          </w:tcPr>
          <w:p w14:paraId="0710F5A6">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-12813.78</w:t>
            </w:r>
          </w:p>
        </w:tc>
      </w:tr>
      <w:tr w14:paraId="072402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43" w:type="pct"/>
            <w:gridSpan w:val="2"/>
            <w:tcBorders>
              <w:top w:val="single" w:color="000000" w:sz="4" w:space="0"/>
              <w:bottom w:val="single" w:color="000000" w:sz="4" w:space="0"/>
              <w:right w:val="single" w:color="000000" w:sz="4" w:space="0"/>
            </w:tcBorders>
            <w:shd w:val="clear" w:color="auto" w:fill="FFFFFF"/>
            <w:noWrap/>
            <w:vAlign w:val="center"/>
          </w:tcPr>
          <w:p w14:paraId="0A182ABF">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期末累计资金结余</w:t>
            </w:r>
          </w:p>
        </w:tc>
        <w:tc>
          <w:tcPr>
            <w:tcW w:w="3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D718E">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AB32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12499.05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3C8A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13837.95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40E0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208.49</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6AC6B3">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1962.20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7814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3748.65</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D54648">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5568.42</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8FA32">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7422.07</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07D3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9310.20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4C6B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11233.41</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201EA">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13192.29</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F7050">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15187.48</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E9A5C">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17219.58</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CABF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19289.24</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7B6A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21397.10</w:t>
            </w:r>
          </w:p>
        </w:tc>
        <w:tc>
          <w:tcPr>
            <w:tcW w:w="2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273D7">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23543.80</w:t>
            </w:r>
          </w:p>
        </w:tc>
        <w:tc>
          <w:tcPr>
            <w:tcW w:w="262" w:type="pct"/>
            <w:tcBorders>
              <w:top w:val="single" w:color="000000" w:sz="4" w:space="0"/>
              <w:left w:val="single" w:color="000000" w:sz="4" w:space="0"/>
              <w:bottom w:val="single" w:color="000000" w:sz="4" w:space="0"/>
            </w:tcBorders>
            <w:shd w:val="clear" w:color="auto" w:fill="FFFFFF"/>
            <w:noWrap/>
            <w:vAlign w:val="center"/>
          </w:tcPr>
          <w:p w14:paraId="7DE1E8DD">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10730.03</w:t>
            </w:r>
          </w:p>
        </w:tc>
      </w:tr>
      <w:tr w14:paraId="1CE86F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trPr>
        <w:tc>
          <w:tcPr>
            <w:tcW w:w="543" w:type="pct"/>
            <w:gridSpan w:val="2"/>
            <w:tcBorders>
              <w:top w:val="single" w:color="000000" w:sz="4" w:space="0"/>
              <w:right w:val="single" w:color="000000" w:sz="4" w:space="0"/>
            </w:tcBorders>
            <w:shd w:val="clear" w:color="auto" w:fill="FFFFFF"/>
            <w:noWrap/>
            <w:vAlign w:val="center"/>
          </w:tcPr>
          <w:p w14:paraId="0B9FAFD9">
            <w:pPr>
              <w:keepNext w:val="0"/>
              <w:keepLines w:val="0"/>
              <w:pageBreakBefore w:val="0"/>
              <w:widowControl/>
              <w:suppressLineNumbers w:val="0"/>
              <w:kinsoku/>
              <w:wordWrap/>
              <w:overflowPunct/>
              <w:topLinePunct w:val="0"/>
              <w:autoSpaceDE/>
              <w:autoSpaceDN/>
              <w:bidi w:val="0"/>
              <w:adjustRightInd/>
              <w:snapToGrid/>
              <w:spacing w:before="0" w:beforeLines="0" w:after="0" w:afterLines="0" w:line="200" w:lineRule="exact"/>
              <w:ind w:firstLine="0" w:firstLineChars="0"/>
              <w:jc w:val="center"/>
              <w:textAlignment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专项债券收益覆盖倍数</w:t>
            </w:r>
          </w:p>
        </w:tc>
        <w:tc>
          <w:tcPr>
            <w:tcW w:w="4456" w:type="pct"/>
            <w:gridSpan w:val="17"/>
            <w:tcBorders>
              <w:top w:val="single" w:color="000000" w:sz="4" w:space="0"/>
              <w:left w:val="single" w:color="000000" w:sz="4" w:space="0"/>
            </w:tcBorders>
            <w:shd w:val="clear" w:color="auto" w:fill="FFFFFF"/>
            <w:noWrap/>
            <w:vAlign w:val="center"/>
          </w:tcPr>
          <w:p w14:paraId="6D788767">
            <w:pPr>
              <w:keepNext w:val="0"/>
              <w:keepLines w:val="0"/>
              <w:pageBreakBefore w:val="0"/>
              <w:widowControl/>
              <w:kinsoku/>
              <w:wordWrap/>
              <w:overflowPunct/>
              <w:topLinePunct w:val="0"/>
              <w:autoSpaceDE/>
              <w:autoSpaceDN/>
              <w:bidi w:val="0"/>
              <w:adjustRightInd/>
              <w:snapToGrid/>
              <w:spacing w:before="0" w:beforeLines="0" w:after="0" w:afterLines="0" w:line="200" w:lineRule="exact"/>
              <w:ind w:firstLine="0" w:firstLineChars="0"/>
              <w:jc w:val="center"/>
              <w:rPr>
                <w:rFonts w:hint="default" w:ascii="Times New Roman" w:hAnsi="Times New Roman" w:eastAsia="仿宋" w:cs="Times New Roman"/>
                <w:i w:val="0"/>
                <w:iCs w:val="0"/>
                <w:color w:val="000000"/>
                <w:sz w:val="18"/>
                <w:szCs w:val="18"/>
                <w:u w:val="none"/>
              </w:rPr>
            </w:pPr>
            <w:r>
              <w:rPr>
                <w:rFonts w:hint="default" w:ascii="Times New Roman" w:hAnsi="Times New Roman" w:eastAsia="仿宋" w:cs="Times New Roman"/>
                <w:i w:val="0"/>
                <w:iCs w:val="0"/>
                <w:color w:val="000000"/>
                <w:kern w:val="0"/>
                <w:sz w:val="18"/>
                <w:szCs w:val="18"/>
                <w:u w:val="none"/>
                <w:lang w:val="en-US" w:eastAsia="zh-CN" w:bidi="ar"/>
              </w:rPr>
              <w:t>1.16</w:t>
            </w:r>
          </w:p>
        </w:tc>
      </w:tr>
    </w:tbl>
    <w:p w14:paraId="780D8CD4">
      <w:pPr>
        <w:spacing w:before="0" w:beforeLines="0" w:after="0" w:afterLines="0"/>
        <w:ind w:left="0" w:leftChars="0" w:firstLine="0" w:firstLineChars="0"/>
        <w:jc w:val="both"/>
        <w:rPr>
          <w:rFonts w:hint="eastAsia" w:ascii="Times New Roman" w:hAnsi="Times New Roman" w:eastAsia="仿宋" w:cs="Times New Roman"/>
          <w:b/>
          <w:bCs/>
          <w:sz w:val="18"/>
          <w:szCs w:val="18"/>
          <w:lang w:eastAsia="zh-CN"/>
        </w:rPr>
      </w:pPr>
    </w:p>
    <w:p w14:paraId="03CC0B1A">
      <w:pPr>
        <w:pStyle w:val="4"/>
        <w:rPr>
          <w:rFonts w:hint="eastAsia"/>
          <w:sz w:val="18"/>
          <w:szCs w:val="18"/>
          <w:lang w:eastAsia="zh-CN"/>
        </w:rPr>
        <w:sectPr>
          <w:pgSz w:w="16838" w:h="11906" w:orient="landscape"/>
          <w:pgMar w:top="567" w:right="567" w:bottom="567" w:left="567" w:header="851" w:footer="992" w:gutter="0"/>
          <w:pgNumType w:fmt="decimal"/>
          <w:cols w:space="0" w:num="1"/>
          <w:rtlGutter w:val="0"/>
          <w:docGrid w:type="lines" w:linePitch="332" w:charSpace="0"/>
        </w:sectPr>
      </w:pPr>
    </w:p>
    <w:p w14:paraId="768943EF">
      <w:pPr>
        <w:pStyle w:val="2"/>
        <w:keepNext w:val="0"/>
        <w:keepLines w:val="0"/>
        <w:pageBreakBefore w:val="0"/>
        <w:widowControl w:val="0"/>
        <w:kinsoku/>
        <w:wordWrap/>
        <w:topLinePunct w:val="0"/>
        <w:bidi w:val="0"/>
        <w:snapToGrid w:val="0"/>
        <w:spacing w:line="240" w:lineRule="auto"/>
        <w:textAlignment w:val="auto"/>
        <w:rPr>
          <w:rFonts w:hint="eastAsia"/>
          <w:sz w:val="24"/>
          <w:szCs w:val="24"/>
        </w:rPr>
      </w:pPr>
      <w:r>
        <w:rPr>
          <w:rFonts w:hint="eastAsia"/>
          <w:sz w:val="24"/>
          <w:szCs w:val="24"/>
          <w:lang w:val="en-US" w:eastAsia="zh-CN"/>
        </w:rPr>
        <w:t>五、</w:t>
      </w:r>
      <w:r>
        <w:rPr>
          <w:rFonts w:hint="eastAsia"/>
          <w:sz w:val="24"/>
          <w:szCs w:val="24"/>
        </w:rPr>
        <w:t>项目绩效目标</w:t>
      </w:r>
    </w:p>
    <w:p w14:paraId="778C7714">
      <w:pPr>
        <w:keepNext w:val="0"/>
        <w:keepLines w:val="0"/>
        <w:pageBreakBefore w:val="0"/>
        <w:widowControl w:val="0"/>
        <w:kinsoku/>
        <w:wordWrap/>
        <w:overflowPunct/>
        <w:topLinePunct w:val="0"/>
        <w:autoSpaceDE/>
        <w:autoSpaceDN/>
        <w:bidi w:val="0"/>
        <w:adjustRightInd w:val="0"/>
        <w:snapToGrid w:val="0"/>
        <w:spacing w:line="240" w:lineRule="auto"/>
        <w:ind w:firstLine="476" w:firstLineChars="200"/>
        <w:textAlignment w:val="auto"/>
        <w:rPr>
          <w:rFonts w:hint="default" w:ascii="仿宋" w:hAnsi="仿宋" w:eastAsia="仿宋" w:cs="仿宋"/>
          <w:color w:val="auto"/>
          <w:spacing w:val="-1"/>
          <w:sz w:val="24"/>
          <w:szCs w:val="24"/>
          <w:lang w:val="en-US" w:eastAsia="zh-CN"/>
        </w:rPr>
      </w:pPr>
      <w:r>
        <w:rPr>
          <w:rFonts w:hint="default" w:ascii="仿宋" w:hAnsi="仿宋" w:eastAsia="仿宋" w:cs="仿宋"/>
          <w:color w:val="auto"/>
          <w:spacing w:val="-1"/>
          <w:sz w:val="24"/>
          <w:szCs w:val="24"/>
          <w:lang w:val="en-US" w:eastAsia="zh-CN"/>
        </w:rPr>
        <w:t>目标1：</w:t>
      </w:r>
      <w:bookmarkStart w:id="56" w:name="OLE_LINK65"/>
      <w:r>
        <w:rPr>
          <w:rFonts w:hint="default" w:ascii="仿宋" w:hAnsi="仿宋" w:eastAsia="仿宋" w:cs="仿宋"/>
          <w:color w:val="auto"/>
          <w:spacing w:val="-1"/>
          <w:sz w:val="24"/>
          <w:szCs w:val="24"/>
          <w:lang w:val="en-US" w:eastAsia="zh-CN"/>
        </w:rPr>
        <w:t>新建游客中心3851.69㎡，安全数智管控中心296.13㎡，旅游大巴上下客平台2300.00㎡、地下配套用房2071.00㎡、公共区域，疏散空间3400.00㎡，停车位128个，充电桩49个，跑马山水井子入口799.31㎡，游客中心广场（屋顶平台）1581.84㎡，公主桥连接步道，栈道工程及配套设施；改造跑马山原售票处修缮2300㎡、下站房修缮1200㎡。</w:t>
      </w:r>
    </w:p>
    <w:p w14:paraId="134C5D13">
      <w:pPr>
        <w:keepNext w:val="0"/>
        <w:keepLines w:val="0"/>
        <w:pageBreakBefore w:val="0"/>
        <w:widowControl w:val="0"/>
        <w:kinsoku/>
        <w:wordWrap/>
        <w:overflowPunct/>
        <w:topLinePunct w:val="0"/>
        <w:autoSpaceDE/>
        <w:autoSpaceDN/>
        <w:bidi w:val="0"/>
        <w:adjustRightInd w:val="0"/>
        <w:snapToGrid w:val="0"/>
        <w:spacing w:line="240" w:lineRule="auto"/>
        <w:ind w:firstLine="476" w:firstLineChars="200"/>
        <w:textAlignment w:val="auto"/>
        <w:rPr>
          <w:rFonts w:hint="default"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目标2：按计划完成项目竣工验收。</w:t>
      </w:r>
    </w:p>
    <w:bookmarkEnd w:id="56"/>
    <w:p w14:paraId="03AB51A4">
      <w:pPr>
        <w:keepNext w:val="0"/>
        <w:keepLines w:val="0"/>
        <w:pageBreakBefore w:val="0"/>
        <w:widowControl w:val="0"/>
        <w:kinsoku/>
        <w:wordWrap/>
        <w:overflowPunct/>
        <w:topLinePunct w:val="0"/>
        <w:autoSpaceDE/>
        <w:autoSpaceDN/>
        <w:bidi w:val="0"/>
        <w:adjustRightInd w:val="0"/>
        <w:snapToGrid w:val="0"/>
        <w:spacing w:line="240" w:lineRule="auto"/>
        <w:ind w:firstLine="476" w:firstLineChars="200"/>
        <w:textAlignment w:val="auto"/>
        <w:rPr>
          <w:rFonts w:hint="default" w:ascii="仿宋" w:hAnsi="仿宋" w:eastAsia="仿宋" w:cs="仿宋"/>
          <w:color w:val="auto"/>
          <w:spacing w:val="-1"/>
          <w:sz w:val="24"/>
          <w:szCs w:val="24"/>
          <w:lang w:val="en-US" w:eastAsia="zh-CN"/>
        </w:rPr>
      </w:pPr>
      <w:r>
        <w:rPr>
          <w:rFonts w:hint="default" w:ascii="仿宋" w:hAnsi="仿宋" w:eastAsia="仿宋" w:cs="仿宋"/>
          <w:color w:val="auto"/>
          <w:spacing w:val="-1"/>
          <w:sz w:val="24"/>
          <w:szCs w:val="24"/>
          <w:lang w:val="en-US" w:eastAsia="zh-CN"/>
        </w:rPr>
        <w:t>目标</w:t>
      </w:r>
      <w:r>
        <w:rPr>
          <w:rFonts w:hint="eastAsia" w:ascii="仿宋" w:hAnsi="仿宋" w:eastAsia="仿宋" w:cs="仿宋"/>
          <w:color w:val="auto"/>
          <w:spacing w:val="-1"/>
          <w:sz w:val="24"/>
          <w:szCs w:val="24"/>
          <w:lang w:val="en-US" w:eastAsia="zh-CN"/>
        </w:rPr>
        <w:t>3</w:t>
      </w:r>
      <w:r>
        <w:rPr>
          <w:rFonts w:hint="default" w:ascii="仿宋" w:hAnsi="仿宋" w:eastAsia="仿宋" w:cs="仿宋"/>
          <w:color w:val="auto"/>
          <w:spacing w:val="-1"/>
          <w:sz w:val="24"/>
          <w:szCs w:val="24"/>
          <w:lang w:val="en-US" w:eastAsia="zh-CN"/>
        </w:rPr>
        <w:t>：在债券存续期内实现年度收支平衡和总体收支平衡。</w:t>
      </w:r>
    </w:p>
    <w:p w14:paraId="79426E64">
      <w:pPr>
        <w:keepNext w:val="0"/>
        <w:keepLines w:val="0"/>
        <w:pageBreakBefore w:val="0"/>
        <w:widowControl w:val="0"/>
        <w:kinsoku/>
        <w:wordWrap/>
        <w:overflowPunct/>
        <w:topLinePunct w:val="0"/>
        <w:autoSpaceDE/>
        <w:autoSpaceDN/>
        <w:bidi w:val="0"/>
        <w:adjustRightInd w:val="0"/>
        <w:snapToGrid w:val="0"/>
        <w:spacing w:line="240" w:lineRule="auto"/>
        <w:ind w:firstLine="476" w:firstLineChars="200"/>
        <w:textAlignment w:val="auto"/>
        <w:rPr>
          <w:rFonts w:hint="default"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目标4：推动康定文化旅游业高质量发展，提高地区社会经济水平。</w:t>
      </w:r>
    </w:p>
    <w:p w14:paraId="3A7A8783">
      <w:pPr>
        <w:pStyle w:val="2"/>
        <w:keepNext w:val="0"/>
        <w:keepLines w:val="0"/>
        <w:pageBreakBefore w:val="0"/>
        <w:widowControl w:val="0"/>
        <w:kinsoku/>
        <w:wordWrap/>
        <w:topLinePunct w:val="0"/>
        <w:bidi w:val="0"/>
        <w:snapToGrid w:val="0"/>
        <w:spacing w:line="240" w:lineRule="auto"/>
        <w:textAlignment w:val="auto"/>
        <w:rPr>
          <w:rFonts w:hint="eastAsia"/>
          <w:sz w:val="24"/>
          <w:szCs w:val="24"/>
        </w:rPr>
      </w:pPr>
      <w:r>
        <w:rPr>
          <w:rFonts w:hint="eastAsia"/>
          <w:sz w:val="24"/>
          <w:szCs w:val="24"/>
        </w:rPr>
        <w:t>六、潜在影响项目的风险评估</w:t>
      </w:r>
    </w:p>
    <w:p w14:paraId="60593F70">
      <w:pPr>
        <w:keepNext w:val="0"/>
        <w:keepLines w:val="0"/>
        <w:pageBreakBefore w:val="0"/>
        <w:widowControl w:val="0"/>
        <w:kinsoku/>
        <w:wordWrap/>
        <w:overflowPunct/>
        <w:topLinePunct w:val="0"/>
        <w:autoSpaceDE/>
        <w:autoSpaceDN/>
        <w:bidi w:val="0"/>
        <w:adjustRightInd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57" w:name="_Toc20663"/>
      <w:bookmarkStart w:id="58" w:name="_Toc1281"/>
      <w:bookmarkStart w:id="59" w:name="_Toc15542"/>
      <w:bookmarkStart w:id="60" w:name="_Toc214387246"/>
      <w:bookmarkStart w:id="61" w:name="_Toc2651"/>
      <w:r>
        <w:rPr>
          <w:rFonts w:hint="eastAsia" w:ascii="仿宋" w:hAnsi="仿宋" w:eastAsia="仿宋" w:cs="仿宋"/>
          <w:color w:val="auto"/>
          <w:spacing w:val="-1"/>
          <w:sz w:val="24"/>
          <w:szCs w:val="24"/>
          <w:lang w:val="en-US" w:eastAsia="zh-CN"/>
        </w:rPr>
        <w:t>在项目全生命周期内充分识别影响项目收益和融资平衡结果的各种风险，揭示风险来源，判别风险程度，提出规避对策，降低风险损失，达到整体项目风险最小化的目标。</w:t>
      </w:r>
    </w:p>
    <w:p w14:paraId="317F95C5">
      <w:pPr>
        <w:keepNext w:val="0"/>
        <w:keepLines w:val="0"/>
        <w:pageBreakBefore w:val="0"/>
        <w:widowControl w:val="0"/>
        <w:kinsoku/>
        <w:wordWrap/>
        <w:overflowPunct/>
        <w:topLinePunct w:val="0"/>
        <w:bidi w:val="0"/>
        <w:adjustRightInd w:val="0"/>
        <w:snapToGrid w:val="0"/>
        <w:spacing w:line="240" w:lineRule="auto"/>
        <w:ind w:firstLine="562"/>
        <w:jc w:val="both"/>
        <w:textAlignment w:val="auto"/>
        <w:outlineLvl w:val="1"/>
        <w:rPr>
          <w:rFonts w:hint="eastAsia" w:ascii="仿宋" w:hAnsi="仿宋" w:eastAsia="仿宋" w:cs="仿宋"/>
          <w:b/>
          <w:bCs/>
          <w:sz w:val="24"/>
          <w:szCs w:val="24"/>
          <w:lang w:val="en-US" w:eastAsia="zh-CN"/>
        </w:rPr>
      </w:pPr>
      <w:bookmarkStart w:id="62" w:name="_Toc28775"/>
      <w:r>
        <w:rPr>
          <w:rFonts w:hint="eastAsia" w:ascii="仿宋" w:hAnsi="仿宋" w:eastAsia="仿宋" w:cs="仿宋"/>
          <w:b/>
          <w:bCs/>
          <w:sz w:val="24"/>
          <w:szCs w:val="24"/>
          <w:lang w:val="en-US" w:eastAsia="zh-CN"/>
        </w:rPr>
        <w:t>（一）</w:t>
      </w:r>
      <w:bookmarkStart w:id="63" w:name="_Toc1491"/>
      <w:bookmarkStart w:id="64" w:name="_Toc8645"/>
      <w:bookmarkStart w:id="65" w:name="_Toc26977"/>
      <w:bookmarkStart w:id="66" w:name="_Toc27881"/>
      <w:r>
        <w:rPr>
          <w:rFonts w:hint="eastAsia" w:ascii="仿宋" w:hAnsi="仿宋" w:eastAsia="仿宋" w:cs="仿宋"/>
          <w:b/>
          <w:bCs/>
          <w:sz w:val="24"/>
          <w:szCs w:val="24"/>
          <w:lang w:val="en-US" w:eastAsia="zh-CN"/>
        </w:rPr>
        <w:t>影响项目施工进度或正常运营的风险及控制措施</w:t>
      </w:r>
      <w:bookmarkEnd w:id="62"/>
      <w:bookmarkEnd w:id="63"/>
      <w:bookmarkEnd w:id="64"/>
      <w:bookmarkEnd w:id="65"/>
      <w:bookmarkEnd w:id="66"/>
    </w:p>
    <w:p w14:paraId="115D16E6">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67" w:name="_Toc635"/>
      <w:r>
        <w:rPr>
          <w:rFonts w:hint="eastAsia" w:ascii="仿宋" w:hAnsi="仿宋" w:eastAsia="仿宋" w:cs="仿宋"/>
          <w:color w:val="auto"/>
          <w:spacing w:val="-1"/>
          <w:sz w:val="24"/>
          <w:szCs w:val="24"/>
          <w:lang w:val="en-US" w:eastAsia="zh-CN"/>
        </w:rPr>
        <w:t>1.地质灾害风险</w:t>
      </w:r>
      <w:bookmarkEnd w:id="67"/>
    </w:p>
    <w:p w14:paraId="209A033D">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受康定市“6・30”地质灾害影响，项目范围内发生多处滑坡、崩塌、不稳斜坡及泥石流灾害点，地质灾害危险性评估级别升级为高风险等级，部分区域被划定为“适宜性差”区域，施工过程中可能遭遇次生灾害，导致施工中断；同时运营期也可能因极端天气引发地质灾害，影响景区正常开放。</w:t>
      </w:r>
    </w:p>
    <w:p w14:paraId="3E0FCEF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施工前严格按照《震后地质灾害危险性评估报告》制定专项防治方案，新增边坡支护、抗滑支挡、排水工程等防治措施，对高风险区域的子项合理缩减规模或调整线路；委托专业机构定期开展地质灾害监测，实时掌握地质环境变化；建立地质灾害应急预案，配备应急物资和救援队伍，施工期及运营期定期开展应急演练，提升灾害应对能力。</w:t>
      </w:r>
    </w:p>
    <w:p w14:paraId="49092851">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68" w:name="_Toc21562"/>
      <w:r>
        <w:rPr>
          <w:rFonts w:hint="eastAsia" w:ascii="仿宋" w:hAnsi="仿宋" w:eastAsia="仿宋" w:cs="仿宋"/>
          <w:color w:val="auto"/>
          <w:spacing w:val="-1"/>
          <w:sz w:val="24"/>
          <w:szCs w:val="24"/>
          <w:lang w:val="en-US" w:eastAsia="zh-CN"/>
        </w:rPr>
        <w:t>2.施工技术与质量风险</w:t>
      </w:r>
      <w:bookmarkEnd w:id="68"/>
    </w:p>
    <w:p w14:paraId="618F66B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项目涉及基坑工程、钢结构施工、栈道架设等复杂技术环节，且部分区域地形陡峭、施工条件受限，可能出现施工技术难题导致进度延误；同时，高海拔环境对施工材料性能、施工工艺要求较高，若质量控制不到位，可能引发返工，影响施工进度和后期运营安全。</w:t>
      </w:r>
    </w:p>
    <w:p w14:paraId="3C59BD89">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严格执行材料进场检验制度，优先选用耐高寒、抗风化的材料；加强施工全过程质量管控，重点对基坑支护、钢结构焊接等关键工序进行旁站监理，及时发现并解决质量问题；合理安排施工工序，避开冬季严寒等不利施工时段，保障施工进度。</w:t>
      </w:r>
    </w:p>
    <w:p w14:paraId="2EC6CF94">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69" w:name="_Toc4728"/>
      <w:r>
        <w:rPr>
          <w:rFonts w:hint="eastAsia" w:ascii="仿宋" w:hAnsi="仿宋" w:eastAsia="仿宋" w:cs="仿宋"/>
          <w:color w:val="auto"/>
          <w:spacing w:val="-1"/>
          <w:sz w:val="24"/>
          <w:szCs w:val="24"/>
          <w:lang w:val="en-US" w:eastAsia="zh-CN"/>
        </w:rPr>
        <w:t>3.安全生产风险</w:t>
      </w:r>
      <w:bookmarkEnd w:id="69"/>
    </w:p>
    <w:p w14:paraId="039BA49F">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项目施工涉及高空作业、基坑开挖、临时用电等高危环节，若安全管理不到位，可能发生安全事故导致施工暂停；运营期栈道、桥梁等设施人流量大，可能出现游客坠落、拥挤踩踏等安全事件，影响景区持续运营。</w:t>
      </w:r>
    </w:p>
    <w:p w14:paraId="07600B48">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施工单位建立健全安全生产管理制度，对施工人员进行安全培训和考核，配备合格的安全防护用品和消防设施，定期开展安全隐患排查；运营期完善安全防护设施，在栈道、桥梁等重点区域设置防滑、防撞设施和警示标识，建立24小时监控系统，实时监测客流情况，合理调控人流密度；制定安全生产应急预案，定期联合相关部门开展应急演练。</w:t>
      </w:r>
    </w:p>
    <w:p w14:paraId="05680A8C">
      <w:pPr>
        <w:keepNext w:val="0"/>
        <w:keepLines w:val="0"/>
        <w:pageBreakBefore w:val="0"/>
        <w:widowControl w:val="0"/>
        <w:kinsoku/>
        <w:wordWrap/>
        <w:overflowPunct/>
        <w:topLinePunct w:val="0"/>
        <w:bidi w:val="0"/>
        <w:adjustRightInd w:val="0"/>
        <w:snapToGrid w:val="0"/>
        <w:spacing w:line="240" w:lineRule="auto"/>
        <w:ind w:firstLine="562"/>
        <w:jc w:val="both"/>
        <w:textAlignment w:val="auto"/>
        <w:outlineLvl w:val="1"/>
        <w:rPr>
          <w:rFonts w:hint="eastAsia" w:ascii="仿宋" w:hAnsi="仿宋" w:eastAsia="仿宋" w:cs="仿宋"/>
          <w:b/>
          <w:bCs/>
          <w:sz w:val="24"/>
          <w:szCs w:val="24"/>
          <w:lang w:val="en-US" w:eastAsia="zh-CN"/>
        </w:rPr>
      </w:pPr>
      <w:bookmarkStart w:id="70" w:name="_Toc6909"/>
      <w:r>
        <w:rPr>
          <w:rFonts w:hint="eastAsia" w:ascii="仿宋" w:hAnsi="仿宋" w:eastAsia="仿宋" w:cs="仿宋"/>
          <w:b/>
          <w:bCs/>
          <w:sz w:val="24"/>
          <w:szCs w:val="24"/>
          <w:lang w:val="en-US" w:eastAsia="zh-CN"/>
        </w:rPr>
        <w:t>（二）影响项目收益的风险及控制措施</w:t>
      </w:r>
      <w:bookmarkEnd w:id="70"/>
    </w:p>
    <w:p w14:paraId="1DBB45A4">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71" w:name="_Toc24231"/>
      <w:r>
        <w:rPr>
          <w:rFonts w:hint="eastAsia" w:ascii="仿宋" w:hAnsi="仿宋" w:eastAsia="仿宋" w:cs="仿宋"/>
          <w:color w:val="auto"/>
          <w:spacing w:val="-1"/>
          <w:sz w:val="24"/>
          <w:szCs w:val="24"/>
          <w:lang w:val="en-US" w:eastAsia="zh-CN"/>
        </w:rPr>
        <w:t>1.市场需求波动风险</w:t>
      </w:r>
      <w:bookmarkEnd w:id="71"/>
    </w:p>
    <w:p w14:paraId="3E6B1367">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旅游市场受宏观经济形势、疫情、极端天气等因素影响较大，若后续甘孜州及康定市旅游市场增长不及预期，或同类景区竞争加剧，可能导致项目游客接待量未达预测值，影响门票、停车费、业态租赁等收益。</w:t>
      </w:r>
    </w:p>
    <w:p w14:paraId="6A5BDF5C">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深度挖掘“康定情歌”文化IP，打造差异化旅游产品，提升项目核心竞争力；加强市场推广，与周边景区组建旅游联盟，推出联程旅游产品，拓展客源市场；开发全季运营产品，针对不同季节推出应季运营活动，降低季节因素对收益的影响；建立游客需求反馈机制，及时调整产品和服务，提升游客满意度和复游率。</w:t>
      </w:r>
    </w:p>
    <w:p w14:paraId="1227159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72" w:name="_Toc18221"/>
      <w:r>
        <w:rPr>
          <w:rFonts w:hint="eastAsia" w:ascii="仿宋" w:hAnsi="仿宋" w:eastAsia="仿宋" w:cs="仿宋"/>
          <w:color w:val="auto"/>
          <w:spacing w:val="-1"/>
          <w:sz w:val="24"/>
          <w:szCs w:val="24"/>
          <w:lang w:val="en-US" w:eastAsia="zh-CN"/>
        </w:rPr>
        <w:t>2.业态运营风险</w:t>
      </w:r>
      <w:bookmarkEnd w:id="72"/>
    </w:p>
    <w:p w14:paraId="50391D3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项目配套的旅游宣传及配套用房、景区纪念品展示区等业态若招商不及预期，或入驻商户经营不善，可能导致租赁收益减少；景区旅游系统、文化体验项目等若运营维护不到位，可能影响游客体验，进而影响项目整体收益。</w:t>
      </w:r>
    </w:p>
    <w:p w14:paraId="618A8614">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制定优惠的招商政策，吸引优质文旅商户入驻；建立商户运营考核机制，对经营不善的商户进行动态调整；加强景区旅游系统和文化体验项目的运营维护，定期更新内容和设备，确保服务质量；引入专业运营团队，负责业态规划、招商和运营管理，提升业态运营效益。</w:t>
      </w:r>
    </w:p>
    <w:p w14:paraId="4B5751AD">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73" w:name="_Toc20858"/>
      <w:r>
        <w:rPr>
          <w:rFonts w:hint="eastAsia" w:ascii="仿宋" w:hAnsi="仿宋" w:eastAsia="仿宋" w:cs="仿宋"/>
          <w:color w:val="auto"/>
          <w:spacing w:val="-1"/>
          <w:sz w:val="24"/>
          <w:szCs w:val="24"/>
          <w:lang w:val="en-US" w:eastAsia="zh-CN"/>
        </w:rPr>
        <w:t>3.价格波动风险</w:t>
      </w:r>
      <w:bookmarkEnd w:id="73"/>
    </w:p>
    <w:p w14:paraId="33E21429">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项目收益与门票、停车费、租赁价格等密切相关，若未来因政策调整或市场竞争需要降低价格，或运营成本（如人力、能源）大幅上涨，可能导致项目毛利率下降，影响整体收益。</w:t>
      </w:r>
    </w:p>
    <w:p w14:paraId="348FE967">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合理制定价格体系，参考同类景区价格水平，结合项目成本和市场需求，实行差异化定价和动态调价机制；加强成本管控，优化人力配置，采用节能设备降低能源消耗；与供应商签订长期合作协议，稳定原材料采购价格；积极争取政府文旅专项补贴、税收优惠等政策支持，缓解成本上涨压力。</w:t>
      </w:r>
    </w:p>
    <w:p w14:paraId="26A23B2E">
      <w:pPr>
        <w:keepNext w:val="0"/>
        <w:keepLines w:val="0"/>
        <w:pageBreakBefore w:val="0"/>
        <w:widowControl w:val="0"/>
        <w:kinsoku/>
        <w:wordWrap/>
        <w:overflowPunct/>
        <w:topLinePunct w:val="0"/>
        <w:bidi w:val="0"/>
        <w:adjustRightInd w:val="0"/>
        <w:snapToGrid w:val="0"/>
        <w:spacing w:line="240" w:lineRule="auto"/>
        <w:ind w:firstLine="562"/>
        <w:jc w:val="both"/>
        <w:textAlignment w:val="auto"/>
        <w:outlineLvl w:val="1"/>
        <w:rPr>
          <w:rFonts w:hint="eastAsia" w:ascii="仿宋" w:hAnsi="仿宋" w:eastAsia="仿宋" w:cs="仿宋"/>
          <w:b/>
          <w:bCs/>
          <w:sz w:val="24"/>
          <w:szCs w:val="24"/>
          <w:lang w:val="en-US" w:eastAsia="zh-CN"/>
        </w:rPr>
      </w:pPr>
      <w:bookmarkStart w:id="74" w:name="_Toc28446"/>
      <w:bookmarkStart w:id="75" w:name="_Toc17555"/>
      <w:bookmarkStart w:id="76" w:name="_Toc8779"/>
      <w:bookmarkStart w:id="77" w:name="_Toc16219"/>
      <w:bookmarkStart w:id="78" w:name="_Toc2975"/>
      <w:r>
        <w:rPr>
          <w:rFonts w:hint="eastAsia" w:ascii="仿宋" w:hAnsi="仿宋" w:eastAsia="仿宋" w:cs="仿宋"/>
          <w:b/>
          <w:bCs/>
          <w:sz w:val="24"/>
          <w:szCs w:val="24"/>
          <w:lang w:val="en-US" w:eastAsia="zh-CN"/>
        </w:rPr>
        <w:t>（三）影响融资平衡结果的风险及控制措施</w:t>
      </w:r>
      <w:bookmarkEnd w:id="74"/>
      <w:bookmarkEnd w:id="75"/>
      <w:bookmarkEnd w:id="76"/>
      <w:bookmarkEnd w:id="77"/>
      <w:bookmarkEnd w:id="78"/>
    </w:p>
    <w:p w14:paraId="2984844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79" w:name="_Toc9214"/>
      <w:r>
        <w:rPr>
          <w:rFonts w:hint="eastAsia" w:ascii="仿宋" w:hAnsi="仿宋" w:eastAsia="仿宋" w:cs="仿宋"/>
          <w:color w:val="auto"/>
          <w:spacing w:val="-1"/>
          <w:sz w:val="24"/>
          <w:szCs w:val="24"/>
          <w:lang w:val="en-US" w:eastAsia="zh-CN"/>
        </w:rPr>
        <w:t>1.投资测算不准确风险</w:t>
      </w:r>
      <w:bookmarkEnd w:id="79"/>
    </w:p>
    <w:p w14:paraId="76F2491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在项目收益测算时，是基于拟定的单价和数量，政府补贴等假设，故测算结果可能与实际结果存在一定的差距。首先，若对需求规模、客户付费意愿及价格承受能力等数据预估错误，会高估未来收入。其次，在项目运营阶段，燃油价格上涨、人工成本提高、市场竞争加剧导致服务价格下降等因素，都会影响运营成本和收入，使投资回报与测算结果不符。因此，投资测算不准确会影响到项目整体的收益、成本，对债券还本付息造成影响。</w:t>
      </w:r>
    </w:p>
    <w:p w14:paraId="46DF832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完善基础数据收集与管理，针对项目特点，开展深入的市场调研，了解客户群体消费意愿、竞争对手服务价格等，建立目标市场需求数据库。定期对数据进行更新和维护，及时反映市场变化，为投资测算提供可靠的数据支撑。在投资测算时，充分考虑市场变化因素，设置合理的风险溢价和弹性空间。在收益测算中，制定不同市场情景下的收入预测方案，增强投资测算的适应性和抗风险能力。</w:t>
      </w:r>
    </w:p>
    <w:p w14:paraId="1F0E2AE3">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80" w:name="_Toc20652"/>
      <w:r>
        <w:rPr>
          <w:rFonts w:hint="eastAsia" w:ascii="仿宋" w:hAnsi="仿宋" w:eastAsia="仿宋" w:cs="仿宋"/>
          <w:color w:val="auto"/>
          <w:spacing w:val="-1"/>
          <w:sz w:val="24"/>
          <w:szCs w:val="24"/>
          <w:lang w:val="en-US" w:eastAsia="zh-CN"/>
        </w:rPr>
        <w:t>2.资金筹措风险</w:t>
      </w:r>
      <w:bookmarkEnd w:id="80"/>
    </w:p>
    <w:p w14:paraId="461AB7B7">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项目总投资39,164.58万元，拟申请专项债券及财政资金作为建设资金，若专项债券发行不及预期，或财政资金拨付延迟，可能导致项目建设资金短缺，影响施工进度和融资平衡。</w:t>
      </w:r>
    </w:p>
    <w:p w14:paraId="633F0450">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加强与政府相关部门的沟通协调，做好专项债券申报工作，确保申报材料齐全、合规，提高债券发行成功率；合理安排资金使用计划，优化资金拨付流程，加快财政资金拨付进度；拓展多元化融资渠道，如建立资金保障预案，应对资金筹措不及预期的情况。</w:t>
      </w:r>
    </w:p>
    <w:p w14:paraId="0A43D608">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81" w:name="_Toc19123"/>
      <w:r>
        <w:rPr>
          <w:rFonts w:hint="eastAsia" w:ascii="仿宋" w:hAnsi="仿宋" w:eastAsia="仿宋" w:cs="仿宋"/>
          <w:color w:val="auto"/>
          <w:spacing w:val="-1"/>
          <w:sz w:val="24"/>
          <w:szCs w:val="24"/>
          <w:lang w:val="en-US" w:eastAsia="zh-CN"/>
        </w:rPr>
        <w:t>3.收益不及预期风险</w:t>
      </w:r>
      <w:bookmarkEnd w:id="81"/>
    </w:p>
    <w:p w14:paraId="7C65E596">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若项目实际游客接待量、业态租赁收益等未达预测值，可能导致项目现金流不足，无法按时偿还专项债券本息，影响融资平衡。</w:t>
      </w:r>
    </w:p>
    <w:p w14:paraId="48E8DF0A">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加强项目收益预测的科学性，结合市场变化及时调整收益预测；通过优化产品和服务、加强市场推广等措施，确保项目收益达到预期水平；建立现金流管理机制，合理安排收支，优先保障专项债券本息偿还；制定融资平衡应急预案，若收益不及预期，可通过调整运营计划、争取政府补贴等方式补充现金流，确保按时偿还债务。</w:t>
      </w:r>
    </w:p>
    <w:p w14:paraId="2712C870">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bookmarkStart w:id="82" w:name="_Toc30741"/>
      <w:r>
        <w:rPr>
          <w:rFonts w:hint="eastAsia" w:ascii="仿宋" w:hAnsi="仿宋" w:eastAsia="仿宋" w:cs="仿宋"/>
          <w:color w:val="auto"/>
          <w:spacing w:val="-1"/>
          <w:sz w:val="24"/>
          <w:szCs w:val="24"/>
          <w:lang w:val="en-US" w:eastAsia="zh-CN"/>
        </w:rPr>
        <w:t>4.政策变动风险</w:t>
      </w:r>
      <w:bookmarkEnd w:id="82"/>
    </w:p>
    <w:p w14:paraId="6C033AA5">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未来若国家或地方相关政策（如文旅产业政策、税收政策、专项债券管理政策）发生调整，可能影响项目收益或融资条件，进而影响融资平衡结果。</w:t>
      </w:r>
    </w:p>
    <w:p w14:paraId="6F0D8B36">
      <w:pPr>
        <w:keepNext w:val="0"/>
        <w:keepLines w:val="0"/>
        <w:pageBreakBefore w:val="0"/>
        <w:widowControl w:val="0"/>
        <w:kinsoku/>
        <w:wordWrap/>
        <w:topLinePunct w:val="0"/>
        <w:bidi w:val="0"/>
        <w:snapToGrid w:val="0"/>
        <w:spacing w:line="240" w:lineRule="auto"/>
        <w:ind w:firstLine="476" w:firstLineChars="200"/>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控制措施：建立政策跟踪机制，及时关注文旅产业、专项债券等相关政策变化，提前做好应对准备；加强与政府部门的沟通，积极争取政策支持，确保项目享受相关优惠政策；优化项目运营模式，增强项目对政策变动的适应能力，降低政策变动对融资平衡的影响。</w:t>
      </w:r>
    </w:p>
    <w:bookmarkEnd w:id="57"/>
    <w:bookmarkEnd w:id="58"/>
    <w:bookmarkEnd w:id="59"/>
    <w:bookmarkEnd w:id="60"/>
    <w:bookmarkEnd w:id="61"/>
    <w:p w14:paraId="13F7CF5E">
      <w:pPr>
        <w:pStyle w:val="2"/>
        <w:keepNext w:val="0"/>
        <w:keepLines w:val="0"/>
        <w:pageBreakBefore w:val="0"/>
        <w:widowControl w:val="0"/>
        <w:kinsoku/>
        <w:wordWrap/>
        <w:topLinePunct w:val="0"/>
        <w:bidi w:val="0"/>
        <w:snapToGrid w:val="0"/>
        <w:spacing w:line="240" w:lineRule="auto"/>
        <w:textAlignment w:val="auto"/>
        <w:rPr>
          <w:rFonts w:hint="eastAsia"/>
          <w:sz w:val="24"/>
          <w:szCs w:val="24"/>
        </w:rPr>
      </w:pPr>
      <w:r>
        <w:rPr>
          <w:rFonts w:hint="eastAsia"/>
          <w:sz w:val="24"/>
          <w:szCs w:val="24"/>
        </w:rPr>
        <w:t>七、还款保障情况</w:t>
      </w:r>
    </w:p>
    <w:p w14:paraId="5DB14FFF">
      <w:pPr>
        <w:keepNext w:val="0"/>
        <w:keepLines w:val="0"/>
        <w:pageBreakBefore w:val="0"/>
        <w:widowControl w:val="0"/>
        <w:kinsoku/>
        <w:wordWrap/>
        <w:overflowPunct/>
        <w:topLinePunct w:val="0"/>
        <w:autoSpaceDE w:val="0"/>
        <w:autoSpaceDN w:val="0"/>
        <w:bidi w:val="0"/>
        <w:adjustRightInd/>
        <w:snapToGrid w:val="0"/>
        <w:spacing w:before="0" w:after="0" w:line="240" w:lineRule="auto"/>
        <w:ind w:left="0" w:firstLine="476" w:firstLineChars="200"/>
        <w:jc w:val="both"/>
        <w:textAlignment w:val="auto"/>
        <w:outlineLvl w:val="9"/>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36844280">
      <w:pPr>
        <w:pStyle w:val="2"/>
        <w:keepNext w:val="0"/>
        <w:keepLines w:val="0"/>
        <w:pageBreakBefore w:val="0"/>
        <w:widowControl w:val="0"/>
        <w:kinsoku/>
        <w:wordWrap/>
        <w:topLinePunct w:val="0"/>
        <w:bidi w:val="0"/>
        <w:snapToGrid w:val="0"/>
        <w:spacing w:line="240" w:lineRule="auto"/>
        <w:textAlignment w:val="auto"/>
        <w:rPr>
          <w:rFonts w:hint="eastAsia"/>
          <w:sz w:val="24"/>
          <w:szCs w:val="24"/>
        </w:rPr>
      </w:pPr>
      <w:r>
        <w:rPr>
          <w:rFonts w:hint="eastAsia"/>
          <w:sz w:val="24"/>
          <w:szCs w:val="24"/>
        </w:rPr>
        <w:t>八、主管部门</w:t>
      </w:r>
      <w:r>
        <w:rPr>
          <w:rFonts w:hint="eastAsia"/>
          <w:sz w:val="24"/>
          <w:szCs w:val="24"/>
          <w:lang w:val="en-US" w:eastAsia="zh-CN"/>
        </w:rPr>
        <w:t>和项目单位</w:t>
      </w:r>
      <w:r>
        <w:rPr>
          <w:rFonts w:hint="eastAsia"/>
          <w:sz w:val="24"/>
          <w:szCs w:val="24"/>
        </w:rPr>
        <w:t>职责</w:t>
      </w:r>
    </w:p>
    <w:p w14:paraId="6087ADE1">
      <w:pPr>
        <w:keepNext w:val="0"/>
        <w:keepLines w:val="0"/>
        <w:pageBreakBefore w:val="0"/>
        <w:widowControl w:val="0"/>
        <w:kinsoku/>
        <w:wordWrap/>
        <w:overflowPunct/>
        <w:topLinePunct w:val="0"/>
        <w:autoSpaceDE w:val="0"/>
        <w:autoSpaceDN w:val="0"/>
        <w:bidi w:val="0"/>
        <w:adjustRightInd w:val="0"/>
        <w:snapToGrid w:val="0"/>
        <w:spacing w:before="0" w:after="0" w:line="240" w:lineRule="auto"/>
        <w:ind w:left="0" w:firstLine="480" w:firstLineChars="200"/>
        <w:jc w:val="both"/>
        <w:textAlignment w:val="auto"/>
        <w:outlineLvl w:val="9"/>
        <w:rPr>
          <w:rFonts w:hint="eastAsia" w:ascii="仿宋" w:hAnsi="仿宋" w:eastAsia="仿宋" w:cs="仿宋"/>
          <w:color w:val="auto"/>
          <w:sz w:val="24"/>
          <w:szCs w:val="24"/>
          <w:lang w:val="en-US" w:eastAsia="zh-CN"/>
        </w:rPr>
      </w:pPr>
      <w:bookmarkStart w:id="83" w:name="OLE_LINK69"/>
      <w:r>
        <w:rPr>
          <w:rFonts w:hint="eastAsia" w:ascii="仿宋" w:hAnsi="仿宋" w:eastAsia="仿宋" w:cs="仿宋"/>
          <w:color w:val="auto"/>
          <w:sz w:val="24"/>
          <w:szCs w:val="24"/>
          <w:lang w:val="en-US" w:eastAsia="zh-CN"/>
        </w:rPr>
        <w:t>（一）康定市文化广播电视和旅游局作为本项目的行业主管单位，职责如下：</w:t>
      </w:r>
    </w:p>
    <w:p w14:paraId="0FCAD8B7">
      <w:pPr>
        <w:keepNext w:val="0"/>
        <w:keepLines w:val="0"/>
        <w:pageBreakBefore w:val="0"/>
        <w:widowControl w:val="0"/>
        <w:kinsoku/>
        <w:wordWrap/>
        <w:overflowPunct/>
        <w:topLinePunct w:val="0"/>
        <w:autoSpaceDE w:val="0"/>
        <w:autoSpaceDN w:val="0"/>
        <w:bidi w:val="0"/>
        <w:adjustRightInd w:val="0"/>
        <w:snapToGrid w:val="0"/>
        <w:spacing w:before="0" w:after="0" w:line="240" w:lineRule="auto"/>
        <w:ind w:left="0" w:firstLine="480" w:firstLineChars="20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筛选初审阶段协同发展改革部门、财政部门，严格依照通用标准和行业标准策划项目，确保项目符合要求。项目经本级政府同意后，按流程上报至四川省文化和旅游厅，完成申报工作。在建设实施阶段，康定市文化广播电视和旅游局定期调度项目建设实施和要素准备情况，督促</w:t>
      </w:r>
      <w:r>
        <w:rPr>
          <w:rFonts w:hint="eastAsia" w:ascii="仿宋" w:hAnsi="仿宋" w:eastAsia="仿宋" w:cs="仿宋"/>
          <w:color w:val="auto"/>
          <w:sz w:val="24"/>
          <w:szCs w:val="24"/>
        </w:rPr>
        <w:t>康定市兴睿投资管理有限责任公司</w:t>
      </w:r>
      <w:r>
        <w:rPr>
          <w:rFonts w:hint="eastAsia" w:ascii="仿宋" w:hAnsi="仿宋" w:eastAsia="仿宋" w:cs="仿宋"/>
          <w:color w:val="auto"/>
          <w:sz w:val="24"/>
          <w:szCs w:val="24"/>
          <w:lang w:val="en-US" w:eastAsia="zh-CN"/>
        </w:rPr>
        <w:t>规范资金使用、加快项目建设。项目拨款需经康定市文化广播电视和旅游局审核后报财政部门，财政部门加强审核，确保资金拨付进度与工程建设进度相匹配，保障资金使用安全与效率。在投后管理阶段，康定市文化广播电视和旅游局指导和监督项目单位做好资产管理，加强项目运营监管，推动项目尽快建成投运，动态跟踪项目运营情况，确保项目发挥预期效益。康定市文化广播电视和旅游局督促运营主体及时足额将运营收入按规定缴入财政，对收入无法偿还债券本息的情况，及时研究提出工作措施。</w:t>
      </w:r>
    </w:p>
    <w:bookmarkEnd w:id="83"/>
    <w:p w14:paraId="42745E87">
      <w:pPr>
        <w:keepNext w:val="0"/>
        <w:keepLines w:val="0"/>
        <w:pageBreakBefore w:val="0"/>
        <w:widowControl w:val="0"/>
        <w:kinsoku/>
        <w:wordWrap/>
        <w:overflowPunct/>
        <w:topLinePunct w:val="0"/>
        <w:autoSpaceDE w:val="0"/>
        <w:autoSpaceDN w:val="0"/>
        <w:bidi w:val="0"/>
        <w:adjustRightInd w:val="0"/>
        <w:snapToGrid w:val="0"/>
        <w:spacing w:before="0" w:after="0" w:line="240" w:lineRule="auto"/>
        <w:ind w:left="0" w:firstLine="480" w:firstLineChars="20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康定市兴睿投资管理有限责任公司</w:t>
      </w:r>
      <w:r>
        <w:rPr>
          <w:rFonts w:hint="eastAsia" w:ascii="仿宋" w:hAnsi="仿宋" w:eastAsia="仿宋" w:cs="仿宋"/>
          <w:color w:val="auto"/>
          <w:sz w:val="24"/>
          <w:szCs w:val="24"/>
          <w:lang w:val="en-US" w:eastAsia="zh-CN"/>
        </w:rPr>
        <w:t>作为本项目的项目单位，职责如下：</w:t>
      </w:r>
    </w:p>
    <w:p w14:paraId="41FA5D44">
      <w:pPr>
        <w:keepNext w:val="0"/>
        <w:keepLines w:val="0"/>
        <w:pageBreakBefore w:val="0"/>
        <w:widowControl w:val="0"/>
        <w:kinsoku/>
        <w:wordWrap/>
        <w:overflowPunct/>
        <w:topLinePunct w:val="0"/>
        <w:autoSpaceDE w:val="0"/>
        <w:autoSpaceDN w:val="0"/>
        <w:bidi w:val="0"/>
        <w:adjustRightInd w:val="0"/>
        <w:snapToGrid w:val="0"/>
        <w:spacing w:before="0" w:after="0" w:line="240" w:lineRule="auto"/>
        <w:ind w:left="0" w:firstLine="480" w:firstLineChars="20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在筛选初审阶段负责组织项目前期规划、可研及申报工作。在建设实施阶段，</w:t>
      </w:r>
      <w:r>
        <w:rPr>
          <w:rFonts w:hint="eastAsia" w:ascii="仿宋" w:hAnsi="仿宋" w:eastAsia="仿宋" w:cs="仿宋"/>
          <w:color w:val="auto"/>
          <w:sz w:val="24"/>
          <w:szCs w:val="24"/>
        </w:rPr>
        <w:t>康定市兴睿投资管理有限责任公司</w:t>
      </w:r>
      <w:r>
        <w:rPr>
          <w:rFonts w:hint="eastAsia" w:ascii="仿宋" w:hAnsi="仿宋" w:eastAsia="仿宋" w:cs="仿宋"/>
          <w:color w:val="auto"/>
          <w:sz w:val="24"/>
          <w:szCs w:val="24"/>
          <w:lang w:val="en-US" w:eastAsia="zh-CN"/>
        </w:rPr>
        <w:t>全力加快项目建设进度，确保项目按计划推进。业主单位需配合康定市文化广播电视和旅游局审核项目拨款，再报财政部门，财政部门加强审核，确保资金拨付进度与工程建设进度相匹配，保障资金使用安全与效率。在投后管理阶段，业主单位负责专项债券形成资产的规划、初始论证、权属确定等工作，按规定登记专项债券形成资产明细台账，并及时向市财政部门、主管部门报告。加强项目运营管理，对专项债券项目运营收支进行专账核算，持续提升运营能力。</w:t>
      </w:r>
      <w:bookmarkStart w:id="84" w:name="_GoBack"/>
      <w:bookmarkEnd w:id="84"/>
    </w:p>
    <w:p w14:paraId="3CE7A590">
      <w:pPr>
        <w:pStyle w:val="2"/>
        <w:keepNext w:val="0"/>
        <w:keepLines w:val="0"/>
        <w:pageBreakBefore w:val="0"/>
        <w:widowControl w:val="0"/>
        <w:kinsoku/>
        <w:wordWrap/>
        <w:topLinePunct w:val="0"/>
        <w:bidi w:val="0"/>
        <w:snapToGrid w:val="0"/>
        <w:spacing w:line="240" w:lineRule="auto"/>
        <w:textAlignment w:val="auto"/>
        <w:rPr>
          <w:rFonts w:hint="eastAsia"/>
          <w:sz w:val="24"/>
          <w:szCs w:val="24"/>
        </w:rPr>
      </w:pPr>
      <w:r>
        <w:rPr>
          <w:rFonts w:hint="eastAsia"/>
          <w:sz w:val="24"/>
          <w:szCs w:val="24"/>
        </w:rPr>
        <w:t>九、补充说明</w:t>
      </w:r>
    </w:p>
    <w:p w14:paraId="239F4FE1">
      <w:pPr>
        <w:keepNext w:val="0"/>
        <w:keepLines w:val="0"/>
        <w:pageBreakBefore w:val="0"/>
        <w:widowControl w:val="0"/>
        <w:kinsoku/>
        <w:wordWrap/>
        <w:overflowPunct/>
        <w:topLinePunct w:val="0"/>
        <w:autoSpaceDE w:val="0"/>
        <w:autoSpaceDN w:val="0"/>
        <w:bidi w:val="0"/>
        <w:adjustRightInd w:val="0"/>
        <w:snapToGrid w:val="0"/>
        <w:spacing w:before="0" w:after="0" w:line="240" w:lineRule="auto"/>
        <w:ind w:left="0" w:firstLine="480" w:firstLineChars="20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此项目债券资金总需求30000.00万元，根据地方政府债务限额管理要求和项目实施进展情况，2023年已发行15000.00万元。本次拟继续发行15000.00万元，期限30年。在不超过项目债券总需求情况下，债券分批次跨年发行对项目整体融资平衡不构成实质影响。</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72651">
    <w:pPr>
      <w:pStyle w:val="6"/>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7D4DD47">
                          <w:pPr>
                            <w:pStyle w:val="6"/>
                            <w:jc w:val="center"/>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27D4DD47">
                    <w:pPr>
                      <w:pStyle w:val="6"/>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A71D8">
    <w:pPr>
      <w:pStyle w:val="7"/>
      <w:pBdr>
        <w:bottom w:val="none" w:color="auto" w:sz="0" w:space="1"/>
      </w:pBdr>
      <w:ind w:firstLine="0"/>
      <w:jc w:val="left"/>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4DF78"/>
    <w:multiLevelType w:val="singleLevel"/>
    <w:tmpl w:val="7364DF7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iODVjYWNhMTQzOWMzMGM5M2ZhOGVkZmMzY2ExOTgifQ=="/>
  </w:docVars>
  <w:rsids>
    <w:rsidRoot w:val="00000000"/>
    <w:rsid w:val="03DF1EFE"/>
    <w:rsid w:val="05AF2851"/>
    <w:rsid w:val="06A44782"/>
    <w:rsid w:val="073C3EB4"/>
    <w:rsid w:val="095B0D2D"/>
    <w:rsid w:val="0A690774"/>
    <w:rsid w:val="14537D9F"/>
    <w:rsid w:val="15D373E9"/>
    <w:rsid w:val="1AD87250"/>
    <w:rsid w:val="1B8A22F8"/>
    <w:rsid w:val="1F1A2587"/>
    <w:rsid w:val="2A8E16D9"/>
    <w:rsid w:val="2F1C5EB4"/>
    <w:rsid w:val="33122EA7"/>
    <w:rsid w:val="35F249BE"/>
    <w:rsid w:val="3E1F0B6E"/>
    <w:rsid w:val="41881F15"/>
    <w:rsid w:val="441B5933"/>
    <w:rsid w:val="473C56A3"/>
    <w:rsid w:val="48E72288"/>
    <w:rsid w:val="5605656A"/>
    <w:rsid w:val="5F461B9E"/>
    <w:rsid w:val="61092146"/>
    <w:rsid w:val="6502674D"/>
    <w:rsid w:val="7280701B"/>
    <w:rsid w:val="73026B7F"/>
    <w:rsid w:val="7369439B"/>
    <w:rsid w:val="78014865"/>
    <w:rsid w:val="7C740D4A"/>
    <w:rsid w:val="7E27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1"/>
    <w:pPr>
      <w:spacing w:line="240" w:lineRule="auto"/>
      <w:ind w:left="0"/>
      <w:outlineLvl w:val="0"/>
    </w:pPr>
    <w:rPr>
      <w:rFonts w:eastAsia="仿宋"/>
      <w:b/>
      <w:bCs/>
      <w:szCs w:val="32"/>
    </w:rPr>
  </w:style>
  <w:style w:type="paragraph" w:styleId="3">
    <w:name w:val="heading 2"/>
    <w:basedOn w:val="1"/>
    <w:next w:val="1"/>
    <w:autoRedefine/>
    <w:qFormat/>
    <w:uiPriority w:val="9"/>
    <w:pPr>
      <w:keepNext/>
      <w:keepLines/>
      <w:autoSpaceDE w:val="0"/>
      <w:autoSpaceDN w:val="0"/>
      <w:adjustRightInd w:val="0"/>
      <w:spacing w:before="50" w:beforeLines="50"/>
      <w:ind w:left="0" w:leftChars="0"/>
      <w:jc w:val="left"/>
      <w:outlineLvl w:val="1"/>
    </w:pPr>
    <w:rPr>
      <w:rFonts w:eastAsia="仿宋"/>
      <w:b/>
      <w:bCs/>
      <w:szCs w:val="30"/>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semiHidden/>
    <w:unhideWhenUsed/>
    <w:qFormat/>
    <w:uiPriority w:val="99"/>
    <w:pPr>
      <w:adjustRightInd w:val="0"/>
      <w:snapToGrid w:val="0"/>
      <w:spacing w:before="100" w:beforeAutospacing="1" w:after="120"/>
    </w:pPr>
    <w:rPr>
      <w:sz w:val="20"/>
      <w:szCs w:val="20"/>
    </w:rPr>
  </w:style>
  <w:style w:type="paragraph" w:styleId="5">
    <w:name w:val="toc 1"/>
    <w:basedOn w:val="1"/>
    <w:next w:val="1"/>
    <w:autoRedefine/>
    <w:semiHidden/>
    <w:unhideWhenUsed/>
    <w:qFormat/>
    <w:uiPriority w:val="39"/>
  </w:style>
  <w:style w:type="paragraph" w:styleId="6">
    <w:name w:val="footer"/>
    <w:basedOn w:val="1"/>
    <w:autoRedefine/>
    <w:unhideWhenUsed/>
    <w:qFormat/>
    <w:uiPriority w:val="99"/>
    <w:pPr>
      <w:tabs>
        <w:tab w:val="center" w:pos="4153"/>
        <w:tab w:val="right" w:pos="8306"/>
      </w:tabs>
      <w:snapToGrid w:val="0"/>
      <w:spacing w:line="240" w:lineRule="auto"/>
    </w:pPr>
    <w:rPr>
      <w:sz w:val="18"/>
      <w:szCs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autoRedefine/>
    <w:semiHidden/>
    <w:unhideWhenUsed/>
    <w:qFormat/>
    <w:uiPriority w:val="99"/>
    <w:pPr>
      <w:ind w:firstLine="420" w:firstLineChars="100"/>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995ae7ff-495f-4662-a586-3e046755e8b1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2D19124C</paraID>
      <start>0</start>
      <end>2</end>
      <status>ignored</status>
      <modifiedWord/>
      <trackRevisions>false</trackRevisions>
    </reviewItem>
    <reviewItem>
      <errorID>f6b08c0c-3530-4a17-aab4-868f26fc5923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1100D06B</paraID>
      <start>0</start>
      <end>2</end>
      <status>ignored</status>
      <modifiedWord/>
      <trackRevisions>false</trackRevisions>
    </reviewItem>
    <reviewItem>
      <errorID>ab524302-46a4-4cab-a133-4613ef460187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36E3EE47</paraID>
      <start>0</start>
      <end>2</end>
      <status>ignored</status>
      <modifiedWord/>
      <trackRevisions>false</trackRevisions>
    </reviewItem>
    <reviewItem>
      <errorID>7571444f-ae52-4026-90d5-8ff051abf4ed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5EDBEB79</paraID>
      <start>0</start>
      <end>2</end>
      <status>ignored</status>
      <modifiedWord/>
      <trackRevisions>false</trackRevisions>
    </reviewItem>
    <reviewItem>
      <errorID>2e68a643-6f7c-484f-ba61-5c54f8656bc6</errorID>
      <errorWord>:</errorWord>
      <group>L1_Format</group>
      <groupName>格式问题</groupName>
      <ability>L2_HalfPunc</ability>
      <abilityName>全半角检查</abilityName>
      <candidateList>
        <item>：</item>
      </candidateList>
      <explain>文本全半角错误。</explain>
      <paraID>11F7B4FA</paraID>
      <start>7</start>
      <end>8</end>
      <status>modified</status>
      <modifiedWord>：</modifiedWord>
      <trackRevisions>false</trackRevisions>
    </reviewItem>
    <reviewItem>
      <errorID>69c63ead-6884-49b8-9ee7-caa9ca19edeb</errorID>
      <errorWord>-</errorWord>
      <group>L1_Format</group>
      <groupName>格式问题</groupName>
      <ability>L2_HalfPunc</ability>
      <abilityName>全半角检查</abilityName>
      <candidateList>
        <item>－</item>
      </candidateList>
      <explain>文本全半角错误。</explain>
      <paraID> B78407A</paraID>
      <start>14</start>
      <end>15</end>
      <status>modified</status>
      <modifiedWord>－</modifiedWord>
      <trackRevisions>false</trackRevisions>
    </reviewItem>
    <reviewItem>
      <errorID>0429948f-28eb-463c-bf86-1a6c72df44ad</errorID>
      <errorWord>,</errorWord>
      <group>L1_Format</group>
      <groupName>格式问题</groupName>
      <ability>L2_HalfPunc</ability>
      <abilityName>全半角检查</abilityName>
      <candidateList>
        <item>，</item>
      </candidateList>
      <explain>文本全半角错误。</explain>
      <paraID>5E24FBC4</paraID>
      <start>117</start>
      <end>118</end>
      <status>modified</status>
      <modifiedWord>，</modifiedWord>
      <trackRevisions>false</trackRevisions>
    </reviewItem>
    <reviewItem>
      <errorID>6ba7eebd-1e37-4662-9450-d8a19fa4b5d0</errorID>
      <errorWord>的规模和</errorWord>
      <group>L1_Grammar</group>
      <groupName>语法问题</groupName>
      <ability>L2_Collocation</ability>
      <abilityName>搭配不当</abilityName>
      <candidateList>
        <item>的</item>
      </candidateList>
      <explain>句子中可能存在主谓、动宾、定语中心语、状语中心语、补语中心语、关联词搭配不当等问题。</explain>
      <paraID>5170B9DE</paraID>
      <start>50</start>
      <end>54</end>
      <status>ignored</status>
      <modifiedWord/>
      <trackRevisions>false</trackRevisions>
    </reviewItem>
    <reviewItem>
      <errorID>abdc6d69-53de-4cbe-8da8-fb44ed552cde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1A179583</paraID>
      <start>0</start>
      <end>2</end>
      <status>ignored</status>
      <modifiedWord/>
      <trackRevisions>false</trackRevisions>
    </reviewItem>
    <reviewItem>
      <errorID>aba66a2f-91aa-4395-b5b5-f75437718a7c</errorID>
      <errorWord>:</errorWord>
      <group>L1_Format</group>
      <groupName>格式问题</groupName>
      <ability>L2_HalfPunc</ability>
      <abilityName>全半角检查</abilityName>
      <candidateList>
        <item>：</item>
      </candidateList>
      <explain>文本全半角错误。</explain>
      <paraID>5895752D</paraID>
      <start>87</start>
      <end>88</end>
      <status>modified</status>
      <modifiedWord>：</modifiedWord>
      <trackRevisions>false</trackRevisions>
    </reviewItem>
    <reviewItem>
      <errorID>3ea767e5-ac1b-4826-8034-19439f6f02ca</errorID>
      <errorWord>万</errorWord>
      <group>L1_Word</group>
      <groupName>字词问题</groupName>
      <ability>L2_Typo</ability>
      <abilityName>字词错误</abilityName>
      <candidateList>
        <item>万元</item>
      </candidateList>
      <explain/>
      <paraID>5895752D</paraID>
      <start>97</start>
      <end>99</end>
      <status>modified</status>
      <modifiedWord>万元</modifiedWord>
      <trackRevisions>false</trackRevisions>
    </reviewItem>
    <reviewItem>
      <errorID>bc2a021f-60f9-4f3e-af96-158d42ca1448</errorID>
      <errorWord>万</errorWord>
      <group>L1_Word</group>
      <groupName>字词问题</groupName>
      <ability>L2_Typo</ability>
      <abilityName>字词错误</abilityName>
      <candidateList>
        <item>万元</item>
      </candidateList>
      <explain/>
      <paraID>5895752D</paraID>
      <start>106</start>
      <end>108</end>
      <status>modified</status>
      <modifiedWord>万元</modifiedWord>
      <trackRevisions>false</trackRevisions>
    </reviewItem>
    <reviewItem>
      <errorID>3382457a-c51e-4077-a67c-3dfb0a560c18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66EF93F0</paraID>
      <start>0</start>
      <end>2</end>
      <status>ignored</status>
      <modifiedWord/>
      <trackRevisions>false</trackRevisions>
    </reviewItem>
    <reviewItem>
      <errorID>2ca53057-392c-4e6f-ad08-4ee657ff0f81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2FE65492</paraID>
      <start>0</start>
      <end>2</end>
      <status>ignored</status>
      <modifiedWord/>
      <trackRevisions>false</trackRevisions>
    </reviewItem>
    <reviewItem>
      <errorID>87100223-779e-4626-9468-2194334f1715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68E24EB7</paraID>
      <start>0</start>
      <end>2</end>
      <status>ignored</status>
      <modifiedWord/>
      <trackRevisions>false</trackRevisions>
    </reviewItem>
    <reviewItem>
      <errorID>73a99fcd-9068-446b-803e-58ff6398d6cb</errorID>
      <errorWord>，</errorWord>
      <group>L1_Word</group>
      <groupName>字词问题</groupName>
      <ability>L2_Typo</ability>
      <abilityName>字词错误</abilityName>
      <candidateList>
        <item>，在</item>
      </candidateList>
      <explain/>
      <paraID>3E0FCEF3</paraID>
      <start>129</start>
      <end>130</end>
      <status>ignored</status>
      <modifiedWord/>
      <trackRevisions>false</trackRevisions>
    </reviewItem>
    <reviewItem>
      <errorID>64cf017e-8eb3-43ac-95e6-e3c3df304579</errorID>
      <errorWord>；</errorWord>
      <group>L1_Word</group>
      <groupName>字词问题</groupName>
      <ability>L2_Typo</ability>
      <abilityName>字词错误</abilityName>
      <candidateList>
        <item>；在</item>
      </candidateList>
      <explain/>
      <paraID> 7600B48</paraID>
      <start>64</start>
      <end>65</end>
      <status>ignored</status>
      <modifiedWord/>
      <trackRevisions>false</trackRevisions>
    </reviewItem>
    <reviewItem>
      <errorID>4b4b025b-9f8f-4275-be89-601e0c72e438</errorID>
      <errorWord>，如</errorWord>
      <group>L1_Word</group>
      <groupName>字词问题</groupName>
      <ability>L2_Typo</ability>
      <abilityName>字词错误</abilityName>
      <candidateList>
        <item>，</item>
      </candidateList>
      <explain/>
      <paraID>633F0450</paraID>
      <start>93</start>
      <end>95</end>
      <status>ignored</status>
      <modifiedWord/>
      <trackRevisions>false</trackRevisions>
    </reviewItem>
    <reviewItem>
      <errorID>1f4ffec5-5dd1-475d-bc64-88d8b8241c48</errorID>
      <errorWord>&lt;</errorWord>
      <group>L1_Format</group>
      <groupName>格式问题</groupName>
      <ability>L2_HalfPunc</ability>
      <abilityName>全半角检查</abilityName>
      <candidateList>
        <item>〈</item>
      </candidateList>
      <explain>文本全半角错误。</explain>
      <paraID>5DB14FFF</paraID>
      <start>86</start>
      <end>87</end>
      <status>ignored</status>
      <modifiedWord/>
      <trackRevisions>false</trackRevisions>
    </reviewItem>
    <reviewItem>
      <errorID>29d97d79-1342-464f-8e2e-7d01d81619aa</errorID>
      <errorWord>&gt;的通知》</errorWord>
      <group>L1_Punc</group>
      <groupName>标点问题</groupName>
      <ability>L2_Punc</ability>
      <abilityName>标点符号检查</abilityName>
      <candidateList>
        <item>〉的通知》</item>
      </candidateList>
      <explain/>
      <paraID>5DB14FFF</paraID>
      <start>101</start>
      <end>106</end>
      <status>ignored</status>
      <modifiedWord/>
      <trackRevisions>false</trackRevisions>
    </reviewItem>
    <reviewItem>
      <errorID>29402260-65fd-470a-a792-2f643f1aa3d8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1DA6D28A</paraID>
      <start>0</start>
      <end>2</end>
      <status>ignored</status>
      <modifiedWord/>
      <trackRevisions>false</trackRevisions>
    </reviewItem>
    <reviewItem>
      <errorID>8cb4e657-3d8a-4e46-ace8-9008834e16b3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62C2877A</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caa284-bbd2-4f54-a862-388907aebd6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2285</Words>
  <Characters>2546</Characters>
  <Lines>0</Lines>
  <Paragraphs>0</Paragraphs>
  <TotalTime>1</TotalTime>
  <ScaleCrop>false</ScaleCrop>
  <LinksUpToDate>false</LinksUpToDate>
  <CharactersWithSpaces>2548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2022-09-29T09:15:00Z</dcterms:created>
  <dc:creator>65454</dc:creator>
  <cp:lastModifiedBy>梁云峰</cp:lastModifiedBy>
  <dcterms:modified xsi:type="dcterms:W3CDTF">2026-07-10T09:24:37Z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BFACBAAC1C544A96836473BFB82F591F_13</vt:lpwstr>
  </property>
  <property fmtid="{D5CDD505-2E9C-101B-9397-08002B2CF9AE}" pid="4" name="KSOTemplateDocerSaveRecord">
    <vt:lpwstr>eyJoZGlkIjoiOTJiODVjYWNhMTQzOWMzMGM5M2ZhOGVkZmMzY2ExOTgiLCJ1c2VySWQiOiIxMTY5NjExMzMzIn0=</vt:lpwstr>
  </property>
</Properties>
</file>